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Republika</w:t>
      </w:r>
      <w:r>
        <w:rPr>
          <w:rFonts w:ascii="Times New Roman" w:hAnsi="Times New Roman" w:cs="Times New Roman" w:eastAsia="Times New Roman"/>
          <w:b/>
          <w:color w:val="000000"/>
          <w:spacing w:val="-14"/>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e</w:t>
      </w:r>
      <w:r>
        <w:rPr>
          <w:rFonts w:ascii="Times New Roman" w:hAnsi="Times New Roman" w:cs="Times New Roman" w:eastAsia="Times New Roman"/>
          <w:b/>
          <w:color w:val="000000"/>
          <w:spacing w:val="-1"/>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Kosovës</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Republika Kosova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Republic of Kosovo</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Ko</w:t>
      </w:r>
      <w:r>
        <w:rPr>
          <w:rFonts w:ascii="Times New Roman" w:hAnsi="Times New Roman" w:cs="Times New Roman" w:eastAsia="Times New Roman"/>
          <w:b/>
          <w:color w:val="000000"/>
          <w:spacing w:val="-1"/>
          <w:position w:val="0"/>
          <w:sz w:val="28"/>
          <w:shd w:fill="auto" w:val="clear"/>
        </w:rPr>
        <w:t xml:space="preserve">mu</w:t>
      </w:r>
      <w:r>
        <w:rPr>
          <w:rFonts w:ascii="Times New Roman" w:hAnsi="Times New Roman" w:cs="Times New Roman" w:eastAsia="Times New Roman"/>
          <w:b/>
          <w:color w:val="000000"/>
          <w:spacing w:val="0"/>
          <w:position w:val="0"/>
          <w:sz w:val="28"/>
          <w:shd w:fill="auto" w:val="clear"/>
        </w:rPr>
        <w:t xml:space="preserve">na</w:t>
      </w:r>
      <w:r>
        <w:rPr>
          <w:rFonts w:ascii="Times New Roman" w:hAnsi="Times New Roman" w:cs="Times New Roman" w:eastAsia="Times New Roman"/>
          <w:b/>
          <w:color w:val="000000"/>
          <w:spacing w:val="-1"/>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e</w:t>
      </w:r>
      <w:r>
        <w:rPr>
          <w:rFonts w:ascii="Times New Roman" w:hAnsi="Times New Roman" w:cs="Times New Roman" w:eastAsia="Times New Roman"/>
          <w:b/>
          <w:color w:val="000000"/>
          <w:spacing w:val="-1"/>
          <w:position w:val="0"/>
          <w:sz w:val="28"/>
          <w:shd w:fill="auto" w:val="clear"/>
        </w:rPr>
        <w:t xml:space="preserve"> Klinës</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Op</w:t>
      </w:r>
      <w:r>
        <w:rPr>
          <w:rFonts w:ascii="Times New Roman" w:hAnsi="Times New Roman" w:cs="Times New Roman" w:eastAsia="Times New Roman"/>
          <w:color w:val="000000"/>
          <w:spacing w:val="0"/>
          <w:position w:val="0"/>
          <w:sz w:val="28"/>
          <w:shd w:fill="auto" w:val="clear"/>
        </w:rPr>
        <w:t xml:space="preserve">ština</w:t>
      </w:r>
      <w:r>
        <w:rPr>
          <w:rFonts w:ascii="Times New Roman" w:hAnsi="Times New Roman" w:cs="Times New Roman" w:eastAsia="Times New Roman"/>
          <w:color w:val="000000"/>
          <w:spacing w:val="-8"/>
          <w:position w:val="0"/>
          <w:sz w:val="28"/>
          <w:shd w:fill="auto" w:val="clear"/>
        </w:rPr>
        <w:t xml:space="preserve"> Klin</w:t>
      </w:r>
      <w:r>
        <w:rPr>
          <w:rFonts w:ascii="Times New Roman" w:hAnsi="Times New Roman" w:cs="Times New Roman" w:eastAsia="Times New Roman"/>
          <w:color w:val="000000"/>
          <w:spacing w:val="0"/>
          <w:position w:val="0"/>
          <w:sz w:val="28"/>
          <w:shd w:fill="auto" w:val="clear"/>
        </w:rPr>
        <w:t xml:space="preserve">a</w:t>
      </w:r>
      <w:r>
        <w:rPr>
          <w:rFonts w:ascii="Times New Roman" w:hAnsi="Times New Roman" w:cs="Times New Roman" w:eastAsia="Times New Roman"/>
          <w:color w:val="000000"/>
          <w:spacing w:val="-7"/>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Municipality </w:t>
      </w:r>
      <w:r>
        <w:rPr>
          <w:rFonts w:ascii="Times New Roman" w:hAnsi="Times New Roman" w:cs="Times New Roman" w:eastAsia="Times New Roman"/>
          <w:color w:val="000000"/>
          <w:spacing w:val="-14"/>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of</w:t>
      </w:r>
      <w:r>
        <w:rPr>
          <w:rFonts w:ascii="Times New Roman" w:hAnsi="Times New Roman" w:cs="Times New Roman" w:eastAsia="Times New Roman"/>
          <w:color w:val="000000"/>
          <w:spacing w:val="-2"/>
          <w:position w:val="0"/>
          <w:sz w:val="28"/>
          <w:shd w:fill="auto" w:val="clear"/>
        </w:rPr>
        <w:t xml:space="preserve"> Klina</w:t>
      </w:r>
    </w:p>
    <w:p>
      <w:pPr>
        <w:spacing w:before="0" w:after="0" w:line="240"/>
        <w:ind w:right="0" w:left="72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72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r>
    </w:p>
    <w:p>
      <w:pPr>
        <w:spacing w:before="0" w:after="0" w:line="240"/>
        <w:ind w:right="0" w:left="-12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KORNIZA AFATMESME BUXHETORE 2027-2029</w:t>
      </w: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E KOMUNËS SË KLINËS</w:t>
      </w: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832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Klinë, qershor 2026</w:t>
      </w:r>
    </w:p>
    <w:p>
      <w:pPr>
        <w:tabs>
          <w:tab w:val="left" w:pos="2786" w:leader="none"/>
          <w:tab w:val="left" w:pos="832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p>
    <w:p>
      <w:pPr>
        <w:keepNext w:val="true"/>
        <w:numPr>
          <w:ilvl w:val="0"/>
          <w:numId w:val="11"/>
        </w:numPr>
        <w:spacing w:before="0" w:after="0" w:line="240"/>
        <w:ind w:right="0" w:left="1080" w:hanging="72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Hyrje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Korniza afatmesme buxhetore komunale paraqet një përmbledhje të planifikuar të shpenzimeve dhe të hyrave buxhetore për komunën e Klinës për periudhën afatmesme 2027-2029</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si dhe shpërndarjen e resurseve financiare nëpër programe komunale sipas prioriteteve të qeverisë komunale të nxjerra nga dokumentat strategjike komunale  dhe vendimet e Kuvendit komunal të Klinës.</w:t>
      </w:r>
    </w:p>
    <w:p>
      <w:pPr>
        <w:tabs>
          <w:tab w:val="left" w:pos="4320" w:leader="none"/>
        </w:tabs>
        <w:spacing w:before="0" w:after="0" w:line="240"/>
        <w:ind w:right="0" w:left="360" w:firstLine="0"/>
        <w:jc w:val="both"/>
        <w:rPr>
          <w:rFonts w:ascii="Times New Roman" w:hAnsi="Times New Roman" w:cs="Times New Roman" w:eastAsia="Times New Roman"/>
          <w:i/>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Korniza Afatmesme Buxhetore, KAB, që po prezantojmë është një dokument i cili përgatitet nga administrata komunale dhe  miratohet në parim çdo vit nga Asambleja Komunale. Ky material siguron një analizë të hollësishme të shpenzimeve publike dhe përcakton parametrat dhe prioritetet kryesore për zhvillimin e vazhdueshëm të buxhetit vjetor komunal. Gjithashtu, KAB, siguron mekanizmat e nevojshëm për arritjen objektivave prioritare, të identifikuara në dokumentet strategjike të komunës, nëpërmjet integrimit sa më të mirë në procesin buxhetor.</w:t>
      </w: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Korniza afatmesme buxhetore komunale bazohet në parashikimet e mundshme reale të të hyrave  të planifikuara për periudhën afatmesme buxhetore: granteve qeveritare në formë të kufijve buxhetor, parashikimet mbi trendin e të hyrave vetanake si dhe parashikimeve mbi donacionet e mundshme qoftë edhe në formë participimeve të qytetarëve (grave dhe burrave)  si dhe parashikimet reale të shpenzimeve buxhetore nëpër programet komunale që janë në fushën e përgjegjësisë së tyre.</w:t>
      </w: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Hartimi i Kornizës Afatmesme Buxhetore përbën një detyrim për institucionet buxhetore komunale, kërkuar me Qarkoren Buxhetore Komunale 2027-01  të lëshuara nga Ministria e Financave, punës dhe transferëve në pajtim me Ligjin për Menaxhimin e Financave Publike dhe Përgjegjësitë (LMFPP).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KAB  </w:t>
      </w:r>
      <w:r>
        <w:rPr>
          <w:rFonts w:ascii="Times New Roman" w:hAnsi="Times New Roman" w:cs="Times New Roman" w:eastAsia="Times New Roman"/>
          <w:color w:val="auto"/>
          <w:spacing w:val="0"/>
          <w:position w:val="0"/>
          <w:sz w:val="24"/>
          <w:shd w:fill="auto" w:val="clear"/>
        </w:rPr>
        <w:t xml:space="preserve">2027-2029</w:t>
      </w:r>
      <w:r>
        <w:rPr>
          <w:rFonts w:ascii="Times New Roman" w:hAnsi="Times New Roman" w:cs="Times New Roman" w:eastAsia="Times New Roman"/>
          <w:color w:val="000000"/>
          <w:spacing w:val="0"/>
          <w:position w:val="0"/>
          <w:sz w:val="24"/>
          <w:shd w:fill="auto" w:val="clear"/>
        </w:rPr>
        <w:t xml:space="preserve"> paraqet dokumentin kryesor mbi bazën e të cilit do të hartohet Buxheti vjetor për vitin 2027.</w:t>
      </w: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Ky dokument do të jetë baza për përcaktimin e sektorëve prioritarë të zhvillimit dhe identifikimin e prioriteteve të shpërndarjes së burimeve komunale për periudhën 2027-2029. Janë katër faza të përmbledhura për zhvillimin e KAB Komunale dhe afatet kohore, si në figurën e mëposhtme: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4320" w:leader="none"/>
          <w:tab w:val="left" w:pos="8640" w:leader="none"/>
          <w:tab w:val="right" w:pos="11046" w:leader="none"/>
        </w:tabs>
        <w:spacing w:before="0" w:after="0" w:line="240"/>
        <w:ind w:right="0" w:left="108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Deklarata e Prioriteteve Afatmesme 2027-2029</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nga Strategjia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Zhvillimore Komunale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Komuna e Klinës  gjendet në pjesën  veri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per</w:t>
      </w:r>
      <w:r>
        <w:rPr>
          <w:rFonts w:ascii="Times New Roman" w:hAnsi="Times New Roman" w:cs="Times New Roman" w:eastAsia="Times New Roman"/>
          <w:color w:val="auto"/>
          <w:spacing w:val="0"/>
          <w:position w:val="0"/>
          <w:sz w:val="24"/>
          <w:shd w:fill="FFFFFF" w:val="clear"/>
        </w:rPr>
        <w:t xml:space="preserve">ëndimore  të Kosovës, rajoni i Pejës . Është njëra nga komunat e mesme të vendit. Pozita gjeografike që ka i mundëson asaj lidhje të mira me qendrat tjera të Kosovës dhe të rajonit. Komuna e Klinës  ka gjithsej 54  fshatra. Sipas rezultateve të regjistrimit të popullsisë të vitit 2024, Komuna e Klinës ka rreth 30503  banorë  (15474 gra dhe 15029 burra) të organizuar në  6753  ekonomi familjare.</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Administrata e Komunës së Klinës  është e organizuar për  rreth zyrës qëndrore dhe zyrave lokale që ofrojnë shërbime në nivel të komunitetit, nga të cilat një është e vendosur  brenda qytetit duke përfshirë zyrën qendrore dhe 9 të tilla në fshatra.</w:t>
      </w:r>
    </w:p>
    <w:p>
      <w:pPr>
        <w:tabs>
          <w:tab w:val="left" w:pos="432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Vizioni i mëposhtëm për Komunën e Klinës i definuar pas konsultimeve me akterët e rëndësishëm të jetës politike ekonomike e sociale në komunë bazohet edhe në dokumentet afatmesme dhe afatgjata strategjike, që ka zhvilluar komuna siç janë: Strategjia e Zhvillimit ekonomik e Komunës së Klinës 2024-2029, në Kornizën  Afatmesme të Shpenzimeve (KASH) 2027-2029</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të Qeverisë së Kosovës dhe prioriteteve bazë të saj, si dhe në Qarkoren Buxhetore Komunale 2027-01 të lëshuara nga Ministria e Financave, Punës dhe Transfereve e Qeverisë së Republikës së Kosovës .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 i komunës është që  Klina do të bëhet një vend ekonomikisht i zhvilluar, ku gratë dhe burrat kanë mundësi të barabarta për të hapur dhe zhvilluar bizneset e tyre, me një administratë  komunale efikase në shërbim të qytetarëve dhe bizneseve, mjedis të pastër dhe atraktiv për të  jetuar dhe investuar. Duke patur për bazë pozitën dhe kushtet gjeografike,  prioritet do të jetë zhvillimi i NVM-ve, bujqësisë, turizmit dhe infrastrukturës fizike. Të kemi ngritje dhe përmirësim të cilësisë në arsim, shëndetësi dhe shërbime publike, ku barazia gjinore është prioritet ndërsektorial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Atributet më të rëndësishme të çfarëdo dokumenti të planifikimit strategjik dhe vizionit të definuar janë së pari lehtësia e komunikimit  dhe  llogaridhënia. Me qëllim të përmbushjes së këtyre dy atributeve, prioritetet strategjike të Komunës në periudhën afatmesme janë grupuar në katër  prioritete që do të mundësojnë realizimin e qëllimit të vizionit tonë për komunën, si :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2.1  Zhvillimi ekonomik për të gjithë qytetarët (gra, burra, vajza dhe djem)</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Përmes objektivave :</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36"/>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Ndërmarrësia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Zhvillimi i nd</w:t>
      </w:r>
      <w:r>
        <w:rPr>
          <w:rFonts w:ascii="Times New Roman" w:hAnsi="Times New Roman" w:cs="Times New Roman" w:eastAsia="Times New Roman"/>
          <w:b/>
          <w:color w:val="auto"/>
          <w:spacing w:val="0"/>
          <w:position w:val="0"/>
          <w:sz w:val="24"/>
          <w:shd w:fill="auto" w:val="clear"/>
        </w:rPr>
        <w:t xml:space="preserve">ërmarrjeve të vogla dhe të mesme ;</w:t>
      </w:r>
    </w:p>
    <w:p>
      <w:pPr>
        <w:numPr>
          <w:ilvl w:val="0"/>
          <w:numId w:val="36"/>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Zhvillimi i bujqësisë -</w:t>
      </w:r>
      <w:r>
        <w:rPr>
          <w:rFonts w:ascii="Times New Roman" w:hAnsi="Times New Roman" w:cs="Times New Roman" w:eastAsia="Times New Roman"/>
          <w:b/>
          <w:color w:val="000000"/>
          <w:spacing w:val="0"/>
          <w:position w:val="0"/>
          <w:sz w:val="24"/>
          <w:shd w:fill="auto" w:val="clear"/>
        </w:rPr>
        <w:t xml:space="preserve"> mbështetje e sektorit bujqësor dhe blegtoral;</w:t>
      </w:r>
    </w:p>
    <w:p>
      <w:pPr>
        <w:numPr>
          <w:ilvl w:val="0"/>
          <w:numId w:val="36"/>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Zhvillimi i turizmit dhe trashegimisë kulturore;</w:t>
      </w:r>
    </w:p>
    <w:p>
      <w:pPr>
        <w:numPr>
          <w:ilvl w:val="0"/>
          <w:numId w:val="36"/>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Barazia gjinore si prioritet ndërsektorial në ndërmarrësi, zhvillim i bujqësisë, turizmit dhe tashëgimisë kulturore.</w:t>
      </w:r>
    </w:p>
    <w:p>
      <w:pPr>
        <w:spacing w:before="0" w:after="0" w:line="240"/>
        <w:ind w:right="0" w:left="72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2.2  Zhvillimi i  infrastrukturës së nevojshme në funksion të qytetarëve dhe bizneseve (gra, burra, vajza dhe djem) dhe bizneseve.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Përmes objektivave :</w:t>
      </w:r>
    </w:p>
    <w:p>
      <w:pPr>
        <w:spacing w:before="0" w:after="0" w:line="240"/>
        <w:ind w:right="0" w:left="720" w:firstLine="0"/>
        <w:jc w:val="both"/>
        <w:rPr>
          <w:rFonts w:ascii="Times New Roman" w:hAnsi="Times New Roman" w:cs="Times New Roman" w:eastAsia="Times New Roman"/>
          <w:b/>
          <w:color w:val="auto"/>
          <w:spacing w:val="0"/>
          <w:position w:val="0"/>
          <w:sz w:val="24"/>
          <w:shd w:fill="auto" w:val="clear"/>
        </w:rPr>
      </w:pPr>
    </w:p>
    <w:p>
      <w:pPr>
        <w:numPr>
          <w:ilvl w:val="0"/>
          <w:numId w:val="41"/>
        </w:numPr>
        <w:spacing w:before="0" w:after="0" w:line="240"/>
        <w:ind w:right="0" w:left="81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Rritja e nivelit të shërbimeve administrative për biznese në pronësi të grave dhe burrave (reduktimi i procedurave)        </w:t>
      </w:r>
    </w:p>
    <w:p>
      <w:pPr>
        <w:numPr>
          <w:ilvl w:val="0"/>
          <w:numId w:val="41"/>
        </w:numPr>
        <w:spacing w:before="0" w:after="0" w:line="240"/>
        <w:ind w:right="0" w:left="81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Zgjerimi i rrjetit të ujësjellësit në fshatra </w:t>
      </w:r>
    </w:p>
    <w:p>
      <w:pPr>
        <w:numPr>
          <w:ilvl w:val="0"/>
          <w:numId w:val="41"/>
        </w:numPr>
        <w:spacing w:before="0" w:after="0" w:line="240"/>
        <w:ind w:right="0" w:left="81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Zgjerimi i rrjetit të kanalizimit në fshatra</w:t>
      </w:r>
    </w:p>
    <w:p>
      <w:pPr>
        <w:numPr>
          <w:ilvl w:val="0"/>
          <w:numId w:val="41"/>
        </w:numPr>
        <w:spacing w:before="0" w:after="0" w:line="240"/>
        <w:ind w:right="0" w:left="81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Zgjerimi i infrastrukturës rrugore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2.3 Përmirësimi i cilësisë se arsimit dhe shëndetësisë</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Përmes objektivave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numPr>
          <w:ilvl w:val="0"/>
          <w:numId w:val="48"/>
        </w:numPr>
        <w:spacing w:before="0" w:after="0" w:line="240"/>
        <w:ind w:right="0" w:left="837"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Përmirësimi i infrastrukturës shkollore</w:t>
      </w:r>
    </w:p>
    <w:p>
      <w:pPr>
        <w:numPr>
          <w:ilvl w:val="0"/>
          <w:numId w:val="48"/>
        </w:numPr>
        <w:spacing w:before="0" w:after="0" w:line="240"/>
        <w:ind w:right="0" w:left="837"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Përmirësimi i infrastrukturës shëndetësore në QKMF, AMF dhe AM</w:t>
      </w:r>
    </w:p>
    <w:p>
      <w:pPr>
        <w:spacing w:before="0" w:after="0" w:line="240"/>
        <w:ind w:right="0" w:left="837"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2.4 Përparimi dhe mbrojtja e mjedisit jetësor.</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Përmes objektivave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numPr>
          <w:ilvl w:val="0"/>
          <w:numId w:val="55"/>
        </w:numPr>
        <w:spacing w:before="0" w:after="0" w:line="240"/>
        <w:ind w:right="0" w:left="77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Ruajtja dhe përmirësimi i natyrës</w:t>
      </w:r>
    </w:p>
    <w:p>
      <w:pPr>
        <w:numPr>
          <w:ilvl w:val="0"/>
          <w:numId w:val="55"/>
        </w:numPr>
        <w:spacing w:before="0" w:after="0" w:line="240"/>
        <w:ind w:right="0" w:left="77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Ulja graduale e ndotjes së ujit, ajrit, tokës.</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2A2A2A"/>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2.5 Krijimi i qeverisë komunale që ofron shërbime efikase dhe që u përgjigjet kërkesave të qytetarëve (gra, burra, vajza dhe djem) </w:t>
      </w:r>
    </w:p>
    <w:p>
      <w:pPr>
        <w:spacing w:before="0" w:after="324" w:line="240"/>
        <w:ind w:right="0" w:left="72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Përmirësimi i shërbimeve komunale karshi qytetarëve duke u fokusuar në qasjen më të afërt dhe të lehtë të tyre në administratë përmes:  </w:t>
      </w:r>
    </w:p>
    <w:p>
      <w:pPr>
        <w:spacing w:before="0" w:after="324" w:line="240"/>
        <w:ind w:right="0" w:left="720" w:firstLine="0"/>
        <w:jc w:val="both"/>
        <w:rPr>
          <w:rFonts w:ascii="Times New Roman" w:hAnsi="Times New Roman" w:cs="Times New Roman" w:eastAsia="Times New Roman"/>
          <w:color w:val="2A2A2A"/>
          <w:spacing w:val="0"/>
          <w:position w:val="0"/>
          <w:sz w:val="24"/>
          <w:shd w:fill="auto" w:val="clear"/>
        </w:rPr>
      </w:pPr>
      <w:r>
        <w:rPr>
          <w:rFonts w:ascii="Times New Roman" w:hAnsi="Times New Roman" w:cs="Times New Roman" w:eastAsia="Times New Roman"/>
          <w:color w:val="2A2A2A"/>
          <w:spacing w:val="0"/>
          <w:position w:val="0"/>
          <w:sz w:val="24"/>
          <w:shd w:fill="auto" w:val="clear"/>
        </w:rPr>
        <w:t xml:space="preserve">Mirëmbajtjes së zyreve komunale (të gjendjes civile) dhe furnizimi me material të nevojshëm  me qëllim të ofrimit të shërbimeve.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keepNext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keepNext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III. Korniza Fiskale Komunale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4320"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3.1 Korniza makroekonomike komunale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Ndonëse komuna nuk udhëheqë drejtëpërdrejt politikën makroekonomike (kjo është kompetencë e qeverisë qendrore), mjedisi i përgjithshëm ekonomik ndikon në pasqyrën fiskale komunale. Korniza Afatmesme Buxhetore e Komunës është në përputhje me kornizën  makroekonomike të Kosovës dhe sipas dokumentit Korniza Afatmesme e Shpenzimeve (KASH) 2027-2029</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të përpiluar nga Qeveria e Kosovës. </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Komponentet e politikës makroekonomike siç janë bruto produkti vendor, inflacioni dhe demografia duhet konsideruar dhe marrë parasysh. Korniza Afatmesme e Shpenzimeve 2027-2029 e Qeverisë së Kosovës bazuar në të dhënat historike si dhe në zhvillimet e fundit ekonomike, nënvizon faktin se do të ketë ecuri pozitive të rritjes ekonomike në vitet e ardhshme, më saktësisht në periudhën 2027-2029</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Natyrisht se rritja ekonomike nëkuptohet në krijimin e vendeve të reja të punës për gra dhe burra, zbutjen e papunësisë në komunë, që në periudhën afatmesme pritet të ulët.  </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nga ana e saj do të adaptojë legjislacionin përkatës në funksion të krijimit të ambientit më të mirë për sektorin privat dhe rritjes së të ardhurave të tyre, rrejdhimisht rritjes së të hyrave buxhetore komunale.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Aktualisht financimi komunal përfshinë: </w:t>
      </w:r>
      <w:r>
        <w:rPr>
          <w:rFonts w:ascii="Times New Roman" w:hAnsi="Times New Roman" w:cs="Times New Roman" w:eastAsia="Times New Roman"/>
          <w:b/>
          <w:color w:val="auto"/>
          <w:spacing w:val="0"/>
          <w:position w:val="0"/>
          <w:sz w:val="24"/>
          <w:shd w:fill="auto" w:val="clear"/>
        </w:rPr>
        <w:t xml:space="preserve">1. Të Hyrat Vetanake dhe 2. Grantet Qeveritare</w:t>
      </w:r>
      <w:r>
        <w:rPr>
          <w:rFonts w:ascii="Times New Roman" w:hAnsi="Times New Roman" w:cs="Times New Roman" w:eastAsia="Times New Roman"/>
          <w:color w:val="auto"/>
          <w:spacing w:val="0"/>
          <w:position w:val="0"/>
          <w:sz w:val="24"/>
          <w:shd w:fill="auto" w:val="clear"/>
        </w:rPr>
        <w:t xml:space="preserve">. Komuna është  pranuese e </w:t>
      </w:r>
      <w:r>
        <w:rPr>
          <w:rFonts w:ascii="Times New Roman" w:hAnsi="Times New Roman" w:cs="Times New Roman" w:eastAsia="Times New Roman"/>
          <w:b/>
          <w:color w:val="auto"/>
          <w:spacing w:val="0"/>
          <w:position w:val="0"/>
          <w:sz w:val="24"/>
          <w:shd w:fill="auto" w:val="clear"/>
        </w:rPr>
        <w:t xml:space="preserve">granteve të donatorëve</w:t>
      </w:r>
      <w:r>
        <w:rPr>
          <w:rFonts w:ascii="Times New Roman" w:hAnsi="Times New Roman" w:cs="Times New Roman" w:eastAsia="Times New Roman"/>
          <w:color w:val="auto"/>
          <w:spacing w:val="0"/>
          <w:position w:val="0"/>
          <w:sz w:val="24"/>
          <w:shd w:fill="auto" w:val="clear"/>
        </w:rPr>
        <w:t xml:space="preserve"> (me mbulim të plotë apo si pjesë të bashkëfinancimeve), si dhe ka mundësinë e huamarrjes sipas kushteve të përcaktuara me legjislacionin në fuqi.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e Klinës në periudhën afatmesme buxhetore 2027-2029 nuk planifikon të marrë hua nga institucione financiare për të financuar projektet e saj, siç e ka lejuar Ligji për Financat Publike dhe Përgjegjësitë.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3.2  Të Hyrat komunale dhe parashikimi afat-mesëm 2027-2029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Të hyrat e Komunës së Klinës nga dy burimet e saj kryesore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grantet qeveritare si dhe t</w:t>
      </w:r>
      <w:r>
        <w:rPr>
          <w:rFonts w:ascii="Times New Roman" w:hAnsi="Times New Roman" w:cs="Times New Roman" w:eastAsia="Times New Roman"/>
          <w:color w:val="auto"/>
          <w:spacing w:val="0"/>
          <w:position w:val="0"/>
          <w:sz w:val="24"/>
          <w:shd w:fill="auto" w:val="clear"/>
        </w:rPr>
        <w:t xml:space="preserve">ë hyrat vetanake komunale kanë shënuar rritje nga viti në vit.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 1: Financimi komunal për vitet 2027-2029 sipas burimit</w:t>
      </w:r>
    </w:p>
    <w:tbl>
      <w:tblPr/>
      <w:tblGrid>
        <w:gridCol w:w="2440"/>
        <w:gridCol w:w="1780"/>
        <w:gridCol w:w="1720"/>
        <w:gridCol w:w="1780"/>
        <w:gridCol w:w="1820"/>
      </w:tblGrid>
      <w:tr>
        <w:trPr>
          <w:trHeight w:val="624" w:hRule="auto"/>
          <w:jc w:val="left"/>
        </w:trPr>
        <w:tc>
          <w:tcPr>
            <w:tcW w:w="2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Korniza afatmesme buxhetore 2027-2029</w:t>
            </w:r>
          </w:p>
        </w:tc>
        <w:tc>
          <w:tcPr>
            <w:tcW w:w="17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Buxheti aktual 2026</w:t>
            </w:r>
          </w:p>
        </w:tc>
        <w:tc>
          <w:tcPr>
            <w:tcW w:w="172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Planifikimi 2027</w:t>
            </w:r>
          </w:p>
        </w:tc>
        <w:tc>
          <w:tcPr>
            <w:tcW w:w="17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Vlerësimi 2028</w:t>
            </w:r>
          </w:p>
        </w:tc>
        <w:tc>
          <w:tcPr>
            <w:tcW w:w="182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Vlerësimi 2029</w:t>
            </w:r>
          </w:p>
        </w:tc>
      </w:tr>
      <w:tr>
        <w:trPr>
          <w:trHeight w:val="540" w:hRule="auto"/>
          <w:jc w:val="left"/>
        </w:trPr>
        <w:tc>
          <w:tcPr>
            <w:tcW w:w="244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Granti i përgjithshëm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6,571,819.00 </w:t>
            </w:r>
          </w:p>
        </w:tc>
        <w:tc>
          <w:tcPr>
            <w:tcW w:w="17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7,432,586.00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7,601,540</w:t>
            </w:r>
          </w:p>
        </w:tc>
        <w:tc>
          <w:tcPr>
            <w:tcW w:w="18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8,194,967</w:t>
            </w:r>
          </w:p>
        </w:tc>
      </w:tr>
      <w:tr>
        <w:trPr>
          <w:trHeight w:val="624" w:hRule="auto"/>
          <w:jc w:val="left"/>
        </w:trPr>
        <w:tc>
          <w:tcPr>
            <w:tcW w:w="244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Granti specifik i arsimit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6,180,993.00 </w:t>
            </w:r>
          </w:p>
        </w:tc>
        <w:tc>
          <w:tcPr>
            <w:tcW w:w="17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5,619,727.00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5,788,319</w:t>
            </w:r>
          </w:p>
        </w:tc>
        <w:tc>
          <w:tcPr>
            <w:tcW w:w="18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5,961,969</w:t>
            </w:r>
          </w:p>
        </w:tc>
      </w:tr>
      <w:tr>
        <w:trPr>
          <w:trHeight w:val="660" w:hRule="auto"/>
          <w:jc w:val="left"/>
        </w:trPr>
        <w:tc>
          <w:tcPr>
            <w:tcW w:w="244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Granti i shëndetësisë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1,884,302.00 </w:t>
            </w:r>
          </w:p>
        </w:tc>
        <w:tc>
          <w:tcPr>
            <w:tcW w:w="17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1,938,350.00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1,996,500</w:t>
            </w:r>
          </w:p>
        </w:tc>
        <w:tc>
          <w:tcPr>
            <w:tcW w:w="18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2,056,395</w:t>
            </w:r>
          </w:p>
        </w:tc>
      </w:tr>
      <w:tr>
        <w:trPr>
          <w:trHeight w:val="540" w:hRule="auto"/>
          <w:jc w:val="left"/>
        </w:trPr>
        <w:tc>
          <w:tcPr>
            <w:tcW w:w="244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Të  hyrat vetanake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1,551,784.00 </w:t>
            </w:r>
          </w:p>
        </w:tc>
        <w:tc>
          <w:tcPr>
            <w:tcW w:w="17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1,704,854.00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1,759,875</w:t>
            </w:r>
          </w:p>
        </w:tc>
        <w:tc>
          <w:tcPr>
            <w:tcW w:w="18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1,848,773</w:t>
            </w:r>
          </w:p>
        </w:tc>
      </w:tr>
      <w:tr>
        <w:trPr>
          <w:trHeight w:val="624" w:hRule="auto"/>
          <w:jc w:val="left"/>
        </w:trPr>
        <w:tc>
          <w:tcPr>
            <w:tcW w:w="244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Financimi për shërbimet rezidenciale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150,000.00 </w:t>
            </w:r>
          </w:p>
        </w:tc>
        <w:tc>
          <w:tcPr>
            <w:tcW w:w="17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150,000.00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200,000</w:t>
            </w:r>
          </w:p>
        </w:tc>
        <w:tc>
          <w:tcPr>
            <w:tcW w:w="18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200,000</w:t>
            </w:r>
          </w:p>
        </w:tc>
      </w:tr>
      <w:tr>
        <w:trPr>
          <w:trHeight w:val="612" w:hRule="auto"/>
          <w:jc w:val="left"/>
        </w:trPr>
        <w:tc>
          <w:tcPr>
            <w:tcW w:w="244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Totali :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16,338,898.00 </w:t>
            </w:r>
          </w:p>
        </w:tc>
        <w:tc>
          <w:tcPr>
            <w:tcW w:w="17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16,845,517.00 </w:t>
            </w:r>
          </w:p>
        </w:tc>
        <w:tc>
          <w:tcPr>
            <w:tcW w:w="178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17,346,234.00 </w:t>
            </w:r>
          </w:p>
        </w:tc>
        <w:tc>
          <w:tcPr>
            <w:tcW w:w="1820"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18,262,104.00 </w:t>
            </w:r>
          </w:p>
        </w:tc>
      </w:tr>
    </w:tbl>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Figura 1: Buxheti total i komunës në vite</w:t>
      </w: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Siq shihet nga tabela më lartë, financimi për Komunën e Klinës në total nga viti në vit shënon rritje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Grantet për Komunën e Klinës për periudhen 2027 si tërësi në krahasim me grantet për vitin 2026 do të shënojnë rritje rreth  3.01%, shuma 506,619.00 euro.</w:t>
      </w:r>
    </w:p>
    <w:p>
      <w:pPr>
        <w:spacing w:before="0" w:after="0" w:line="240"/>
        <w:ind w:right="0" w:left="0" w:firstLine="0"/>
        <w:jc w:val="left"/>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Të dhënat e  prezantuara në tabelën më lartë  bazohen në të dhënat e përgjithshme për rritjen buxhetore që planifikohet në nivel të Qeverisë nacionale, siç parashihet me KASH-in 2027-2029. Për vitin 2027 Granti i përgjithshëm ka shënuar një rritje rreth 11.58%, </w:t>
      </w:r>
      <w:r>
        <w:rPr>
          <w:rFonts w:ascii="Times New Roman" w:hAnsi="Times New Roman" w:cs="Times New Roman" w:eastAsia="Times New Roman"/>
          <w:color w:val="000000"/>
          <w:spacing w:val="0"/>
          <w:position w:val="0"/>
          <w:sz w:val="24"/>
          <w:shd w:fill="auto" w:val="clear"/>
        </w:rPr>
        <w:t xml:space="preserve">Granti specifik i arsimit ka një rënie rreth 9.98%, ndërsa</w:t>
      </w:r>
      <w:r>
        <w:rPr>
          <w:rFonts w:ascii="Times New Roman" w:hAnsi="Times New Roman" w:cs="Times New Roman" w:eastAsia="Times New Roman"/>
          <w:color w:val="auto"/>
          <w:spacing w:val="0"/>
          <w:position w:val="0"/>
          <w:sz w:val="24"/>
          <w:shd w:fill="auto" w:val="clear"/>
        </w:rPr>
        <w:t xml:space="preserve"> Granti i shëndetësisë ka një rritje të lehtë, ndërsa </w:t>
      </w:r>
      <w:r>
        <w:rPr>
          <w:rFonts w:ascii="Times New Roman" w:hAnsi="Times New Roman" w:cs="Times New Roman" w:eastAsia="Times New Roman"/>
          <w:color w:val="000000"/>
          <w:spacing w:val="0"/>
          <w:position w:val="0"/>
          <w:sz w:val="24"/>
          <w:shd w:fill="auto" w:val="clear"/>
        </w:rPr>
        <w:t xml:space="preserve">Financimi për shërbimet rezidenciale mbetet i njëjtë</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Projeksionet e të hyrave vetanake komunale si burim i financimit komunal, në anën tjetër, për vitin 2027 ka rritje për 8.97% në raport me vitin 2026, viti 2028 shënon rritje për rreth 3.13% në raport me vitin 2027 dhe në vitin 2029 në raport me vitin 2028 shënon rritje për 4.80% .  Planifikimi i të hyrave nga gjykatat dhe dënimet në trafik do të planifikohen në nivelin qendror në institucionet të cilat i realizojnë këto të hyra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Tabela 2. Të hyrat vetanake për 2027-2029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1561"/>
        <w:gridCol w:w="1561"/>
        <w:gridCol w:w="1561"/>
        <w:gridCol w:w="1561"/>
      </w:tblGrid>
      <w:tr>
        <w:trPr>
          <w:trHeight w:val="321" w:hRule="auto"/>
          <w:jc w:val="left"/>
        </w:trPr>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2027</w:t>
            </w:r>
          </w:p>
        </w:tc>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2028</w:t>
            </w:r>
          </w:p>
        </w:tc>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2029</w:t>
            </w:r>
          </w:p>
        </w:tc>
      </w:tr>
      <w:tr>
        <w:trPr>
          <w:trHeight w:val="663" w:hRule="auto"/>
          <w:jc w:val="left"/>
        </w:trPr>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THV</w:t>
            </w:r>
          </w:p>
        </w:tc>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1,704,854.00</w:t>
            </w:r>
          </w:p>
        </w:tc>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1,759,875.00</w:t>
            </w:r>
          </w:p>
        </w:tc>
        <w:tc>
          <w:tcPr>
            <w:tcW w:w="1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1,848,773.00</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16"/>
          <w:shd w:fill="auto" w:val="clear"/>
        </w:rPr>
        <w:t xml:space="preserve">Figura 2: Buxheti  nga të hyrat vetanake  në vite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tbl>
      <w:tblPr>
        <w:tblInd w:w="94" w:type="dxa"/>
      </w:tblPr>
      <w:tblGrid>
        <w:gridCol w:w="9336"/>
      </w:tblGrid>
      <w:tr>
        <w:trPr>
          <w:trHeight w:val="315" w:hRule="auto"/>
          <w:jc w:val="left"/>
        </w:trPr>
        <w:tc>
          <w:tcPr>
            <w:tcW w:w="933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Tabela 3. Planifikimi i të hyrave vetanake të komunës sipas burimeve për periudhën  2027-2029</w:t>
            </w:r>
          </w:p>
          <w:tbl>
            <w:tblPr/>
            <w:tblGrid>
              <w:gridCol w:w="1080"/>
              <w:gridCol w:w="3160"/>
              <w:gridCol w:w="1600"/>
              <w:gridCol w:w="1600"/>
              <w:gridCol w:w="1660"/>
            </w:tblGrid>
            <w:tr>
              <w:trPr>
                <w:trHeight w:val="540" w:hRule="auto"/>
                <w:jc w:val="left"/>
              </w:trPr>
              <w:tc>
                <w:tcPr>
                  <w:tcW w:w="1080" w:type="dxa"/>
                  <w:tcBorders>
                    <w:top w:val="single" w:color="000000" w:sz="8"/>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Kodet</w:t>
                  </w:r>
                </w:p>
              </w:tc>
              <w:tc>
                <w:tcPr>
                  <w:tcW w:w="3160" w:type="dxa"/>
                  <w:tcBorders>
                    <w:top w:val="single" w:color="000000" w:sz="8"/>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BURIMET E  TË  HYRAVE</w:t>
                  </w:r>
                </w:p>
              </w:tc>
              <w:tc>
                <w:tcPr>
                  <w:tcW w:w="1600" w:type="dxa"/>
                  <w:tcBorders>
                    <w:top w:val="single" w:color="000000" w:sz="8"/>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Planifikimi - për vitin 2027</w:t>
                  </w:r>
                </w:p>
              </w:tc>
              <w:tc>
                <w:tcPr>
                  <w:tcW w:w="1600" w:type="dxa"/>
                  <w:tcBorders>
                    <w:top w:val="single" w:color="000000" w:sz="8"/>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Planifikimi - për vitin 2028</w:t>
                  </w:r>
                </w:p>
              </w:tc>
              <w:tc>
                <w:tcPr>
                  <w:tcW w:w="1660" w:type="dxa"/>
                  <w:tcBorders>
                    <w:top w:val="single" w:color="000000" w:sz="8"/>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Planifikimi - për vitin 2029</w:t>
                  </w:r>
                </w:p>
              </w:tc>
            </w:tr>
            <w:tr>
              <w:trPr>
                <w:trHeight w:val="270"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Drejtoria e Urbanizmit</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275,000.00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313,000.00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338,000.00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50009</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Lejet për ndërtim</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244,000.00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282,000.00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298,000.00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50026</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Taksë për legalizim</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Drejtoria e Inspekcionit</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30,000.00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30,200.00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34,000.00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50104</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Denimet mandatore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17,500.00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17,600.00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50205</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Komisioni inspektues</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12,500.00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12,600.00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14,000.00</w:t>
                  </w:r>
                </w:p>
              </w:tc>
            </w:tr>
            <w:tr>
              <w:trPr>
                <w:trHeight w:val="540"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Drejtoria e Shërbimeve Publike, Mbrojtja Civile, Emergjenca</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20,000.00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22,000.00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25,000.00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50008</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Të hyrat nga stacioni autobusave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Kadastra</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93,000.00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93,200.00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50504</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Të hyrat nga shërbimet kadastrale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50032</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Taksë për fletë poseduese, kopje plani</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Administrata e përgjithshme</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60,539.00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60,740.00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64,970.00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50013</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Çertifikatat e lindjës</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889.00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890.00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50014</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Çertifikatat e kunorzimit</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50015</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Çertifikatat e vdekjës</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50016</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Çertifikatat tjera</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48,500.00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48,600.00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50017</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Të hyrat tjera</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50019</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Taksat administrative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Drejtoria për Buxhet e Financa</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1,096,215.00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1,110,635.00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1,145,703.00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50103</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Marimanga</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50217</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Taksa për ushtrim të veprimtarisë</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50001</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Taksa për rexhistrimin e automjeteve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117,000.00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117,500.00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50407</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Qiraja për lokalet afariste </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50408</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Qiraja për banesa</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50403</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Shitja e pasurisë</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50405</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Shfrytëzimi i pronës publike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13,506.00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13,506.00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40110</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Tatimi mbi pronë </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588,488.00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602,173.50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604,603.00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40110</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Tatimi në tokë</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171,121.00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171,255.50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180,000.00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7)</w:t>
                  </w:r>
                </w:p>
              </w:tc>
              <w:tc>
                <w:tcPr>
                  <w:tcW w:w="31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Qendra për Punë Sociale</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7,000.00</w:t>
                  </w:r>
                </w:p>
              </w:tc>
              <w:tc>
                <w:tcPr>
                  <w:tcW w:w="160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7,000.00</w:t>
                  </w:r>
                </w:p>
              </w:tc>
              <w:tc>
                <w:tcPr>
                  <w:tcW w:w="1660" w:type="dxa"/>
                  <w:tcBorders>
                    <w:top w:val="single" w:color="000000" w:sz="0"/>
                    <w:left w:val="single" w:color="000000" w:sz="0"/>
                    <w:bottom w:val="single" w:color="000000" w:sz="8"/>
                    <w:right w:val="single" w:color="000000" w:sz="8"/>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8,000.00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Taksa tjera</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w:t>
                  </w:r>
                </w:p>
              </w:tc>
              <w:tc>
                <w:tcPr>
                  <w:tcW w:w="316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Totali i administratës komunale</w:t>
                  </w:r>
                </w:p>
              </w:tc>
              <w:tc>
                <w:tcPr>
                  <w:tcW w:w="160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1,581,754.00</w:t>
                  </w:r>
                </w:p>
              </w:tc>
              <w:tc>
                <w:tcPr>
                  <w:tcW w:w="160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1,636,775.00</w:t>
                  </w:r>
                </w:p>
              </w:tc>
              <w:tc>
                <w:tcPr>
                  <w:tcW w:w="166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1,725,673.00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Të ardhurat nga arsimi</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50409</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Qerdhet</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50409</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Arsimi fillor</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50409</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Arsimi i mesëm</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59,000.00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59,000.00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59,000.00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II</w:t>
                  </w:r>
                </w:p>
              </w:tc>
              <w:tc>
                <w:tcPr>
                  <w:tcW w:w="316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Totali - arsimi</w:t>
                  </w:r>
                </w:p>
              </w:tc>
              <w:tc>
                <w:tcPr>
                  <w:tcW w:w="160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84,000.00</w:t>
                  </w:r>
                </w:p>
              </w:tc>
              <w:tc>
                <w:tcPr>
                  <w:tcW w:w="160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84,000.00</w:t>
                  </w:r>
                </w:p>
              </w:tc>
              <w:tc>
                <w:tcPr>
                  <w:tcW w:w="166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84,000.00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Të ardhurat nga shendetësia</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50409</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Shendetësia primare </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37,000.00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37,000.00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37,000.00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50024</w:t>
                  </w:r>
                </w:p>
              </w:tc>
              <w:tc>
                <w:tcPr>
                  <w:tcW w:w="31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Çertifikatat mjeksore</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2,100.00</w:t>
                  </w:r>
                </w:p>
              </w:tc>
              <w:tc>
                <w:tcPr>
                  <w:tcW w:w="160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2,100.00</w:t>
                  </w:r>
                </w:p>
              </w:tc>
              <w:tc>
                <w:tcPr>
                  <w:tcW w:w="16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2,100.00</w:t>
                  </w:r>
                </w:p>
              </w:tc>
            </w:tr>
            <w:tr>
              <w:trPr>
                <w:trHeight w:val="315" w:hRule="auto"/>
                <w:jc w:val="left"/>
              </w:trPr>
              <w:tc>
                <w:tcPr>
                  <w:tcW w:w="1080" w:type="dxa"/>
                  <w:tcBorders>
                    <w:top w:val="single" w:color="000000" w:sz="0"/>
                    <w:left w:val="single" w:color="000000" w:sz="8"/>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III</w:t>
                  </w:r>
                </w:p>
              </w:tc>
              <w:tc>
                <w:tcPr>
                  <w:tcW w:w="316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Totali - shendetësia</w:t>
                  </w:r>
                </w:p>
              </w:tc>
              <w:tc>
                <w:tcPr>
                  <w:tcW w:w="160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39,100.00</w:t>
                  </w:r>
                </w:p>
              </w:tc>
              <w:tc>
                <w:tcPr>
                  <w:tcW w:w="160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39,100.00</w:t>
                  </w:r>
                </w:p>
              </w:tc>
              <w:tc>
                <w:tcPr>
                  <w:tcW w:w="1660" w:type="dxa"/>
                  <w:tcBorders>
                    <w:top w:val="single" w:color="000000" w:sz="0"/>
                    <w:left w:val="single" w:color="000000" w:sz="0"/>
                    <w:bottom w:val="single" w:color="000000" w:sz="8"/>
                    <w:right w:val="single" w:color="000000" w:sz="8"/>
                  </w:tcBorders>
                  <w:shd w:color="000000" w:fill="00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39,100.00</w:t>
                  </w:r>
                </w:p>
              </w:tc>
            </w:tr>
            <w:tr>
              <w:trPr>
                <w:trHeight w:val="315" w:hRule="auto"/>
                <w:jc w:val="left"/>
              </w:trPr>
              <w:tc>
                <w:tcPr>
                  <w:tcW w:w="4240" w:type="dxa"/>
                  <w:gridSpan w:val="2"/>
                  <w:tcBorders>
                    <w:top w:val="single" w:color="000000" w:sz="8"/>
                    <w:left w:val="single" w:color="000000" w:sz="8"/>
                    <w:bottom w:val="single" w:color="000000" w:sz="8"/>
                    <w:right w:val="single" w:color="000000" w:sz="8"/>
                  </w:tcBorders>
                  <w:shd w:color="000000" w:fill="ffc000"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TOTALI I TË ARDHURAVE VETANAKE TË KOMUNËS ( I + II + III )</w:t>
                  </w:r>
                </w:p>
              </w:tc>
              <w:tc>
                <w:tcPr>
                  <w:tcW w:w="1600" w:type="dxa"/>
                  <w:tcBorders>
                    <w:top w:val="single" w:color="000000" w:sz="0"/>
                    <w:left w:val="single" w:color="000000" w:sz="0"/>
                    <w:bottom w:val="single" w:color="000000" w:sz="8"/>
                    <w:right w:val="single" w:color="000000" w:sz="8"/>
                  </w:tcBorders>
                  <w:shd w:color="000000" w:fill="ffc0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1,704,854.00</w:t>
                  </w:r>
                </w:p>
              </w:tc>
              <w:tc>
                <w:tcPr>
                  <w:tcW w:w="1600" w:type="dxa"/>
                  <w:tcBorders>
                    <w:top w:val="single" w:color="000000" w:sz="0"/>
                    <w:left w:val="single" w:color="000000" w:sz="0"/>
                    <w:bottom w:val="single" w:color="000000" w:sz="8"/>
                    <w:right w:val="single" w:color="000000" w:sz="8"/>
                  </w:tcBorders>
                  <w:shd w:color="000000" w:fill="ffc0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1,759,875.00</w:t>
                  </w:r>
                </w:p>
              </w:tc>
              <w:tc>
                <w:tcPr>
                  <w:tcW w:w="1660" w:type="dxa"/>
                  <w:tcBorders>
                    <w:top w:val="single" w:color="000000" w:sz="0"/>
                    <w:left w:val="single" w:color="000000" w:sz="0"/>
                    <w:bottom w:val="single" w:color="000000" w:sz="8"/>
                    <w:right w:val="single" w:color="000000" w:sz="8"/>
                  </w:tcBorders>
                  <w:shd w:color="000000" w:fill="ffc0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1,848,773.00</w:t>
                  </w:r>
                </w:p>
              </w:tc>
            </w:tr>
          </w:tbl>
          <w:p>
            <w:pPr>
              <w:spacing w:before="0" w:after="0" w:line="240"/>
              <w:ind w:right="0" w:left="0" w:firstLine="0"/>
              <w:jc w:val="left"/>
              <w:rPr>
                <w:rFonts w:ascii="Times New Roman" w:hAnsi="Times New Roman" w:cs="Times New Roman" w:eastAsia="Times New Roman"/>
                <w:b/>
                <w:color w:val="000000"/>
                <w:spacing w:val="0"/>
                <w:position w:val="0"/>
                <w:sz w:val="20"/>
                <w:shd w:fill="auto" w:val="clear"/>
              </w:rPr>
            </w:pPr>
          </w:p>
          <w:p>
            <w:pPr>
              <w:spacing w:before="0" w:after="0" w:line="240"/>
              <w:ind w:right="0" w:left="0" w:firstLine="0"/>
              <w:jc w:val="left"/>
              <w:rPr>
                <w:spacing w:val="0"/>
                <w:position w:val="0"/>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3"/>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3"/>
          <w:shd w:fill="auto" w:val="clear"/>
        </w:rPr>
        <w:t xml:space="preserve">Në këto projeksione janë marrë parasysh të hyrat nga tatimi në pronat e paluajtshme (tatimi në tokë dhe tatimi në pronë) sipas faturimit të tatimit në pronë dhe trendit të realizimit të të hyrave jo tatimore gjatë tri viteve të fundit, duke përjashtuar nga këto projeksione të hyrat nga gjobat në trafik dhe të hyrat nga gjykatat.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e Klinës vazhdon të dominohet në buxhetin total të saj nga transferet qeveritare të cilat edhe në tri vitet e ardhshme do të përbëjnë rreth 89.87 % të buxhetit total të komunës.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312"/>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Huamarrja</w:t>
      </w:r>
    </w:p>
    <w:p>
      <w:pPr>
        <w:spacing w:before="0" w:after="0" w:line="240"/>
        <w:ind w:right="0" w:left="555"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e Klinës në periudhën afatmesme buxhetore 2027-2029 nuk planifikon të marrë hua nga institucione financiare për të financuar projektet e saj, siç e ka lejuar Ligji për Financat Publike dhe Përgjegjësitë</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3.3  Politikat e reja </w:t>
      </w:r>
    </w:p>
    <w:p>
      <w:pPr>
        <w:spacing w:before="0" w:after="0" w:line="240"/>
        <w:ind w:right="0" w:left="0" w:firstLine="0"/>
        <w:jc w:val="left"/>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e Klinës në tri vitet e ardhshme do të bëjë përpjekje në mobilizimin e resurseve komunale me qëllim të adaptimit të politikave të reja që ka inicuar qeveria nacionale e Republikës së Kosovës, por edhe të atyre të inicuara në nivelin e qeverisë komunale.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Sipas Kornizës Afatmesme të Shpenzimeve të Qeverisë së Kosovës 2027-2029, ndarja buxhetore bazohet në formulën e përcaktuar në nenin 24 të LFPL. Sipas këtij neni, 10% e të hyrave totale të buxhetuara të Qeverisë qendrore ju ndahen komunave  (duke përjashtuar të hyrat nga shitja e aseteve, të hyrat tjera të jashtëzakonshme, të hyrat e dedikuara vetanake dhe të hyrat nga huamarrja).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e Klinës është e ndikuar në aspektin buxhetor për zbatimin e politikave të reja në Arsim dhe Shëndetësi, politika në lidhje me trajtimin e mirëqenies sociale si kompetencë e decentralizuar në komunat e Kosovës, si dhe atyre të paralajmëruara nga niveli qendror, me ndikim në Komunën e Klinës.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e Klinës ka  mirërpritur deklarimet e Qeverisë Qëndrore, që në të ardhmen, sa i përket fleksibilitetit të shpenzimeve në të gjitha kategoritë ekonomike, përveç pagave, të kenë mundësi këtë ta bëjnë edhe nga Granti i Përgjithshëm si shtesë, përveq se nga të hyrat vetanake komunale.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Ndërsa sa i përket të hyrave të tjera të komunës, apo të hyrave vetanake, sërish qeveria nacionale ka shtyrë drejt politikave të reja që do të orientonin komunën drejt avancimit të tatimeve me potencial të mirë dhe zbehjes eventualisht eleminimit të atyre taksa e ngarkesa komunale që rëndojnë ambientin biznesor komunal, janë jo transparente karshi qytetarëve respektivisht tatimpaguesit komunal.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3.4  Shpenzimet komunale dhe parashikimi i tyre afat-mesëm 2027-2029</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Sipas rekomandimeve të Misionit të Fondit Monetar Ndërkombëtar të komunikuara përmes Qarkorës Buxhetore komunale 2027/01, komunat do të kenë edhe në të ardhmen fleksibilitet në shpërndarjen e të hyrave vetanake komunale në Strukturën e shpenzimeve sipas kategorive ekonomike për vitin 2027. Si rezultat Komuna e Klinës prezanton këtë ndarje të shpenzimeve në mes të kategorive të lejuara buxhetore:</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Tabela 4. Korniza Buxhetore Komunale, në euro </w:t>
      </w:r>
    </w:p>
    <w:tbl>
      <w:tblPr/>
      <w:tblGrid>
        <w:gridCol w:w="491"/>
        <w:gridCol w:w="280"/>
        <w:gridCol w:w="2228"/>
        <w:gridCol w:w="1577"/>
        <w:gridCol w:w="1576"/>
        <w:gridCol w:w="1575"/>
        <w:gridCol w:w="1613"/>
      </w:tblGrid>
      <w:tr>
        <w:trPr>
          <w:trHeight w:val="900" w:hRule="auto"/>
          <w:jc w:val="left"/>
        </w:trPr>
        <w:tc>
          <w:tcPr>
            <w:tcW w:w="491" w:type="dxa"/>
            <w:tcBorders>
              <w:top w:val="single" w:color="7ba0cd" w:sz="8"/>
              <w:left w:val="single" w:color="7ba0cd" w:sz="8"/>
              <w:bottom w:val="single" w:color="000000" w:sz="0"/>
              <w:right w:val="single" w:color="000000" w:sz="0"/>
            </w:tcBorders>
            <w:shd w:color="000000" w:fill="943634"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FFFFFF"/>
                <w:spacing w:val="0"/>
                <w:position w:val="0"/>
                <w:sz w:val="24"/>
                <w:shd w:fill="auto" w:val="clear"/>
              </w:rPr>
              <w:t xml:space="preserve"> </w:t>
            </w:r>
          </w:p>
        </w:tc>
        <w:tc>
          <w:tcPr>
            <w:tcW w:w="2508" w:type="dxa"/>
            <w:gridSpan w:val="2"/>
            <w:tcBorders>
              <w:top w:val="single" w:color="7ba0cd" w:sz="8"/>
              <w:left w:val="single" w:color="000000" w:sz="0"/>
              <w:bottom w:val="single" w:color="000000" w:sz="0"/>
              <w:right w:val="single" w:color="000000" w:sz="0"/>
            </w:tcBorders>
            <w:shd w:color="000000" w:fill="943634"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Përshkrimi</w:t>
            </w:r>
          </w:p>
        </w:tc>
        <w:tc>
          <w:tcPr>
            <w:tcW w:w="1577" w:type="dxa"/>
            <w:tcBorders>
              <w:top w:val="single" w:color="7ba0cd" w:sz="8"/>
              <w:left w:val="single" w:color="000000" w:sz="0"/>
              <w:bottom w:val="single" w:color="000000" w:sz="0"/>
              <w:right w:val="single" w:color="000000" w:sz="0"/>
            </w:tcBorders>
            <w:shd w:color="000000" w:fill="943634" w:val="clear"/>
            <w:tcMar>
              <w:left w:w="108" w:type="dxa"/>
              <w:right w:w="108" w:type="dxa"/>
            </w:tcMar>
            <w:vAlign w:val="top"/>
          </w:tcPr>
          <w:p>
            <w:pPr>
              <w:spacing w:before="0" w:after="0" w:line="240"/>
              <w:ind w:right="0" w:left="0" w:firstLine="0"/>
              <w:jc w:val="center"/>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2026                           (viti aktual)</w:t>
            </w:r>
          </w:p>
        </w:tc>
        <w:tc>
          <w:tcPr>
            <w:tcW w:w="1576" w:type="dxa"/>
            <w:tcBorders>
              <w:top w:val="single" w:color="7ba0cd" w:sz="8"/>
              <w:left w:val="single" w:color="000000" w:sz="0"/>
              <w:bottom w:val="single" w:color="000000" w:sz="0"/>
              <w:right w:val="single" w:color="000000" w:sz="0"/>
            </w:tcBorders>
            <w:shd w:color="000000" w:fill="943634" w:val="clear"/>
            <w:tcMar>
              <w:left w:w="108" w:type="dxa"/>
              <w:right w:w="108" w:type="dxa"/>
            </w:tcMar>
            <w:vAlign w:val="top"/>
          </w:tcPr>
          <w:p>
            <w:pPr>
              <w:spacing w:before="0" w:after="0" w:line="240"/>
              <w:ind w:right="0" w:left="0" w:firstLine="0"/>
              <w:jc w:val="center"/>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2027    (planifikim)</w:t>
            </w:r>
          </w:p>
        </w:tc>
        <w:tc>
          <w:tcPr>
            <w:tcW w:w="1575" w:type="dxa"/>
            <w:tcBorders>
              <w:top w:val="single" w:color="7ba0cd" w:sz="8"/>
              <w:left w:val="single" w:color="000000" w:sz="0"/>
              <w:bottom w:val="single" w:color="000000" w:sz="0"/>
              <w:right w:val="single" w:color="000000" w:sz="0"/>
            </w:tcBorders>
            <w:shd w:color="000000" w:fill="943634" w:val="clear"/>
            <w:tcMar>
              <w:left w:w="108" w:type="dxa"/>
              <w:right w:w="108" w:type="dxa"/>
            </w:tcMar>
            <w:vAlign w:val="top"/>
          </w:tcPr>
          <w:p>
            <w:pPr>
              <w:spacing w:before="0" w:after="0" w:line="240"/>
              <w:ind w:right="0" w:left="0" w:firstLine="0"/>
              <w:jc w:val="center"/>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2028   (vlerësimet)</w:t>
            </w:r>
          </w:p>
        </w:tc>
        <w:tc>
          <w:tcPr>
            <w:tcW w:w="1613" w:type="dxa"/>
            <w:tcBorders>
              <w:top w:val="single" w:color="7ba0cd" w:sz="8"/>
              <w:left w:val="single" w:color="000000" w:sz="0"/>
              <w:bottom w:val="single" w:color="000000" w:sz="0"/>
              <w:right w:val="single" w:color="7ba0cd" w:sz="8"/>
            </w:tcBorders>
            <w:shd w:color="000000" w:fill="943634" w:val="clear"/>
            <w:tcMar>
              <w:left w:w="108" w:type="dxa"/>
              <w:right w:w="108" w:type="dxa"/>
            </w:tcMar>
            <w:vAlign w:val="top"/>
          </w:tcPr>
          <w:p>
            <w:pPr>
              <w:spacing w:before="0" w:after="0" w:line="240"/>
              <w:ind w:right="0" w:left="0" w:firstLine="0"/>
              <w:jc w:val="center"/>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      2029 (vlerësimet)</w:t>
            </w:r>
          </w:p>
        </w:tc>
      </w:tr>
      <w:tr>
        <w:trPr>
          <w:trHeight w:val="324" w:hRule="auto"/>
          <w:jc w:val="left"/>
        </w:trPr>
        <w:tc>
          <w:tcPr>
            <w:tcW w:w="491" w:type="dxa"/>
            <w:tcBorders>
              <w:top w:val="single" w:color="000000" w:sz="0"/>
              <w:left w:val="single" w:color="7ba0cd" w:sz="8"/>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w:t>
            </w:r>
          </w:p>
        </w:tc>
        <w:tc>
          <w:tcPr>
            <w:tcW w:w="2508" w:type="dxa"/>
            <w:gridSpan w:val="2"/>
            <w:tcBorders>
              <w:top w:val="single" w:color="7ba0cd" w:sz="8"/>
              <w:left w:val="single" w:color="000000" w:sz="0"/>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1577" w:type="dxa"/>
            <w:tcBorders>
              <w:top w:val="single" w:color="000000" w:sz="0"/>
              <w:left w:val="single" w:color="000000" w:sz="0"/>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w:t>
            </w:r>
          </w:p>
        </w:tc>
        <w:tc>
          <w:tcPr>
            <w:tcW w:w="1576" w:type="dxa"/>
            <w:tcBorders>
              <w:top w:val="single" w:color="000000" w:sz="0"/>
              <w:left w:val="single" w:color="000000" w:sz="0"/>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1575" w:type="dxa"/>
            <w:tcBorders>
              <w:top w:val="single" w:color="000000" w:sz="0"/>
              <w:left w:val="single" w:color="000000" w:sz="0"/>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1613" w:type="dxa"/>
            <w:tcBorders>
              <w:top w:val="single" w:color="7ba0cd" w:sz="8"/>
              <w:left w:val="single" w:color="000000" w:sz="0"/>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r>
      <w:tr>
        <w:trPr>
          <w:trHeight w:val="855" w:hRule="auto"/>
          <w:jc w:val="left"/>
        </w:trPr>
        <w:tc>
          <w:tcPr>
            <w:tcW w:w="491" w:type="dxa"/>
            <w:tcBorders>
              <w:top w:val="single" w:color="000000" w:sz="0"/>
              <w:left w:val="single" w:color="7ba0cd" w:sz="8"/>
              <w:bottom w:val="single" w:color="7ba0cd" w:sz="8"/>
              <w:right w:val="single" w:color="000000" w:sz="0"/>
            </w:tcBorders>
            <w:shd w:color="000000" w:fill="943634" w:val="clear"/>
            <w:tcMar>
              <w:left w:w="108" w:type="dxa"/>
              <w:right w:w="108" w:type="dxa"/>
            </w:tcMar>
            <w:vAlign w:val="top"/>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w:t>
            </w:r>
          </w:p>
        </w:tc>
        <w:tc>
          <w:tcPr>
            <w:tcW w:w="2508" w:type="dxa"/>
            <w:gridSpan w:val="2"/>
            <w:tcBorders>
              <w:top w:val="single" w:color="7ba0cd" w:sz="8"/>
              <w:left w:val="single" w:color="000000" w:sz="0"/>
              <w:bottom w:val="single" w:color="7ba0cd" w:sz="8"/>
              <w:right w:val="single" w:color="000000" w:sz="0"/>
            </w:tcBorders>
            <w:shd w:color="000000" w:fill="943634"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TË HYRAT TOTALE KOMUNALE  </w:t>
            </w:r>
          </w:p>
        </w:tc>
        <w:tc>
          <w:tcPr>
            <w:tcW w:w="1577"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16,338,898.00</w:t>
            </w:r>
          </w:p>
        </w:tc>
        <w:tc>
          <w:tcPr>
            <w:tcW w:w="1576"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16,845,517.00</w:t>
            </w:r>
          </w:p>
        </w:tc>
        <w:tc>
          <w:tcPr>
            <w:tcW w:w="1575"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17,346,234.00</w:t>
            </w:r>
          </w:p>
        </w:tc>
        <w:tc>
          <w:tcPr>
            <w:tcW w:w="1613"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18,262,104.00</w:t>
            </w:r>
          </w:p>
        </w:tc>
      </w:tr>
      <w:tr>
        <w:trPr>
          <w:trHeight w:val="600" w:hRule="auto"/>
          <w:jc w:val="left"/>
        </w:trPr>
        <w:tc>
          <w:tcPr>
            <w:tcW w:w="491" w:type="dxa"/>
            <w:tcBorders>
              <w:top w:val="single" w:color="000000" w:sz="0"/>
              <w:left w:val="single" w:color="7ba0cd" w:sz="8"/>
              <w:bottom w:val="single" w:color="000000" w:sz="0"/>
              <w:right w:val="single" w:color="000000" w:sz="0"/>
            </w:tcBorders>
            <w:shd w:color="000000" w:fill="c4bc96" w:val="clear"/>
            <w:tcMar>
              <w:left w:w="108" w:type="dxa"/>
              <w:right w:w="108" w:type="dxa"/>
            </w:tcMar>
            <w:vAlign w:val="top"/>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1</w:t>
            </w:r>
          </w:p>
        </w:tc>
        <w:tc>
          <w:tcPr>
            <w:tcW w:w="280" w:type="dxa"/>
            <w:tcBorders>
              <w:top w:val="single" w:color="000000" w:sz="0"/>
              <w:left w:val="single" w:color="000000" w:sz="0"/>
              <w:bottom w:val="single" w:color="000000" w:sz="0"/>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c4bc96"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 Të hyrat vetanake </w:t>
            </w:r>
          </w:p>
        </w:tc>
        <w:tc>
          <w:tcPr>
            <w:tcW w:w="1577" w:type="dxa"/>
            <w:tcBorders>
              <w:top w:val="single" w:color="000000" w:sz="0"/>
              <w:left w:val="single" w:color="000000" w:sz="0"/>
              <w:bottom w:val="single" w:color="000000" w:sz="0"/>
              <w:right w:val="single" w:color="000000" w:sz="0"/>
            </w:tcBorders>
            <w:shd w:color="000000" w:fill="c4bc96"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1,551,784.00</w:t>
            </w:r>
          </w:p>
        </w:tc>
        <w:tc>
          <w:tcPr>
            <w:tcW w:w="1576" w:type="dxa"/>
            <w:tcBorders>
              <w:top w:val="single" w:color="000000" w:sz="0"/>
              <w:left w:val="single" w:color="000000" w:sz="0"/>
              <w:bottom w:val="single" w:color="000000" w:sz="0"/>
              <w:right w:val="single" w:color="000000" w:sz="0"/>
            </w:tcBorders>
            <w:shd w:color="000000" w:fill="c4bc96"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1,704,854.00</w:t>
            </w:r>
          </w:p>
        </w:tc>
        <w:tc>
          <w:tcPr>
            <w:tcW w:w="1575" w:type="dxa"/>
            <w:tcBorders>
              <w:top w:val="single" w:color="000000" w:sz="0"/>
              <w:left w:val="single" w:color="000000" w:sz="0"/>
              <w:bottom w:val="single" w:color="000000" w:sz="0"/>
              <w:right w:val="single" w:color="000000" w:sz="0"/>
            </w:tcBorders>
            <w:shd w:color="000000" w:fill="c4bc96"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1,759,875.00</w:t>
            </w:r>
          </w:p>
        </w:tc>
        <w:tc>
          <w:tcPr>
            <w:tcW w:w="1613" w:type="dxa"/>
            <w:tcBorders>
              <w:top w:val="single" w:color="000000" w:sz="0"/>
              <w:left w:val="single" w:color="000000" w:sz="0"/>
              <w:bottom w:val="single" w:color="000000" w:sz="0"/>
              <w:right w:val="single" w:color="000000" w:sz="0"/>
            </w:tcBorders>
            <w:shd w:color="000000" w:fill="c4bc96"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1,848,773.00</w:t>
            </w:r>
          </w:p>
        </w:tc>
      </w:tr>
      <w:tr>
        <w:trPr>
          <w:trHeight w:val="564" w:hRule="auto"/>
          <w:jc w:val="left"/>
        </w:trPr>
        <w:tc>
          <w:tcPr>
            <w:tcW w:w="491" w:type="dxa"/>
            <w:tcBorders>
              <w:top w:val="single" w:color="7ba0cd" w:sz="8"/>
              <w:left w:val="single" w:color="7ba0cd" w:sz="8"/>
              <w:bottom w:val="single" w:color="000000" w:sz="0"/>
              <w:right w:val="single" w:color="000000" w:sz="0"/>
            </w:tcBorders>
            <w:shd w:color="000000" w:fill="eeece1" w:val="clear"/>
            <w:tcMar>
              <w:left w:w="108" w:type="dxa"/>
              <w:right w:w="108" w:type="dxa"/>
            </w:tcMar>
            <w:vAlign w:val="top"/>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1</w:t>
            </w:r>
          </w:p>
        </w:tc>
        <w:tc>
          <w:tcPr>
            <w:tcW w:w="280"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w:t>
            </w:r>
          </w:p>
        </w:tc>
        <w:tc>
          <w:tcPr>
            <w:tcW w:w="2228" w:type="dxa"/>
            <w:tcBorders>
              <w:top w:val="single" w:color="000000" w:sz="0"/>
              <w:left w:val="single" w:color="000000" w:sz="0"/>
              <w:bottom w:val="single" w:color="000000" w:sz="0"/>
              <w:right w:val="single" w:color="000000" w:sz="0"/>
            </w:tcBorders>
            <w:shd w:color="000000" w:fill="eeece1"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Grantet dhe transferet  qeveritare</w:t>
            </w:r>
          </w:p>
        </w:tc>
        <w:tc>
          <w:tcPr>
            <w:tcW w:w="1577"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14,787,114.00</w:t>
            </w:r>
          </w:p>
        </w:tc>
        <w:tc>
          <w:tcPr>
            <w:tcW w:w="1576"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15,140,663.00</w:t>
            </w:r>
          </w:p>
        </w:tc>
        <w:tc>
          <w:tcPr>
            <w:tcW w:w="1575"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15,586,359.00</w:t>
            </w:r>
          </w:p>
        </w:tc>
        <w:tc>
          <w:tcPr>
            <w:tcW w:w="1613"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16,413,331.00</w:t>
            </w:r>
          </w:p>
        </w:tc>
      </w:tr>
      <w:tr>
        <w:trPr>
          <w:trHeight w:val="840" w:hRule="auto"/>
          <w:jc w:val="left"/>
        </w:trPr>
        <w:tc>
          <w:tcPr>
            <w:tcW w:w="491" w:type="dxa"/>
            <w:tcBorders>
              <w:top w:val="single" w:color="7ba0cd" w:sz="8"/>
              <w:left w:val="single" w:color="7ba0cd" w:sz="8"/>
              <w:bottom w:val="single" w:color="7ba0cd" w:sz="8"/>
              <w:right w:val="single" w:color="000000" w:sz="0"/>
            </w:tcBorders>
            <w:shd w:color="000000" w:fill="943634" w:val="clear"/>
            <w:tcMar>
              <w:left w:w="108" w:type="dxa"/>
              <w:right w:w="108" w:type="dxa"/>
            </w:tcMar>
            <w:vAlign w:val="top"/>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2</w:t>
            </w:r>
          </w:p>
        </w:tc>
        <w:tc>
          <w:tcPr>
            <w:tcW w:w="280" w:type="dxa"/>
            <w:tcBorders>
              <w:top w:val="single" w:color="7ba0cd" w:sz="8"/>
              <w:left w:val="single" w:color="000000" w:sz="0"/>
              <w:bottom w:val="single" w:color="7ba0cd" w:sz="8"/>
              <w:right w:val="single" w:color="000000" w:sz="0"/>
            </w:tcBorders>
            <w:shd w:color="000000" w:fill="943634"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SHPENZIMET TOTALE KOMUNALE </w:t>
            </w:r>
          </w:p>
        </w:tc>
        <w:tc>
          <w:tcPr>
            <w:tcW w:w="1577"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16,338,898.00</w:t>
            </w:r>
          </w:p>
        </w:tc>
        <w:tc>
          <w:tcPr>
            <w:tcW w:w="1576"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16,845,517.00</w:t>
            </w:r>
          </w:p>
        </w:tc>
        <w:tc>
          <w:tcPr>
            <w:tcW w:w="1575"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17,346,234.00</w:t>
            </w:r>
          </w:p>
        </w:tc>
        <w:tc>
          <w:tcPr>
            <w:tcW w:w="1613" w:type="dxa"/>
            <w:tcBorders>
              <w:top w:val="single" w:color="000000" w:sz="0"/>
              <w:left w:val="single" w:color="000000" w:sz="0"/>
              <w:bottom w:val="single" w:color="7ba0cd" w:sz="8"/>
              <w:right w:val="single" w:color="000000" w:sz="0"/>
            </w:tcBorders>
            <w:shd w:color="000000" w:fill="943634"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FFFFFF"/>
                <w:spacing w:val="0"/>
                <w:position w:val="0"/>
                <w:sz w:val="22"/>
                <w:shd w:fill="auto" w:val="clear"/>
              </w:rPr>
              <w:t xml:space="preserve">18,262,104.00</w:t>
            </w:r>
          </w:p>
        </w:tc>
      </w:tr>
      <w:tr>
        <w:trPr>
          <w:trHeight w:val="660" w:hRule="auto"/>
          <w:jc w:val="left"/>
        </w:trPr>
        <w:tc>
          <w:tcPr>
            <w:tcW w:w="491" w:type="dxa"/>
            <w:tcBorders>
              <w:top w:val="single" w:color="000000" w:sz="0"/>
              <w:left w:val="single" w:color="7ba0cd" w:sz="8"/>
              <w:bottom w:val="single" w:color="7ba0cd" w:sz="8"/>
              <w:right w:val="single" w:color="000000" w:sz="0"/>
            </w:tcBorders>
            <w:shd w:color="000000" w:fill="eeece1" w:val="clear"/>
            <w:tcMar>
              <w:left w:w="108" w:type="dxa"/>
              <w:right w:w="108" w:type="dxa"/>
            </w:tcMar>
            <w:vAlign w:val="top"/>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2.1</w:t>
            </w:r>
          </w:p>
        </w:tc>
        <w:tc>
          <w:tcPr>
            <w:tcW w:w="280"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w:t>
            </w:r>
            <w:r>
              <w:rPr>
                <w:rFonts w:ascii="Times New Roman" w:hAnsi="Times New Roman" w:cs="Times New Roman" w:eastAsia="Times New Roman"/>
                <w:b/>
                <w:color w:val="000000"/>
                <w:spacing w:val="0"/>
                <w:position w:val="0"/>
                <w:sz w:val="22"/>
                <w:shd w:fill="auto" w:val="clear"/>
              </w:rPr>
              <w:t xml:space="preserve">Shpenzimet rrjedhëse </w:t>
            </w:r>
          </w:p>
        </w:tc>
        <w:tc>
          <w:tcPr>
            <w:tcW w:w="1577"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12,337,100.00</w:t>
            </w:r>
          </w:p>
        </w:tc>
        <w:tc>
          <w:tcPr>
            <w:tcW w:w="1576"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12,643,719.00</w:t>
            </w:r>
          </w:p>
        </w:tc>
        <w:tc>
          <w:tcPr>
            <w:tcW w:w="1575"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13,014,278.00</w:t>
            </w:r>
          </w:p>
        </w:tc>
        <w:tc>
          <w:tcPr>
            <w:tcW w:w="1613"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13,373,719.00</w:t>
            </w:r>
          </w:p>
        </w:tc>
      </w:tr>
      <w:tr>
        <w:trPr>
          <w:trHeight w:val="525" w:hRule="auto"/>
          <w:jc w:val="left"/>
        </w:trPr>
        <w:tc>
          <w:tcPr>
            <w:tcW w:w="491" w:type="dxa"/>
            <w:tcBorders>
              <w:top w:val="single" w:color="000000" w:sz="0"/>
              <w:left w:val="single" w:color="7ba0cd" w:sz="8"/>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w:t>
            </w:r>
          </w:p>
        </w:tc>
        <w:tc>
          <w:tcPr>
            <w:tcW w:w="2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Pagat dhe meditjet</w:t>
            </w:r>
          </w:p>
        </w:tc>
        <w:tc>
          <w:tcPr>
            <w:tcW w:w="157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9,567,100.00</w:t>
            </w:r>
          </w:p>
        </w:tc>
        <w:tc>
          <w:tcPr>
            <w:tcW w:w="157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9,873,719.00</w:t>
            </w:r>
          </w:p>
        </w:tc>
        <w:tc>
          <w:tcPr>
            <w:tcW w:w="157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10,073,719.00</w:t>
            </w:r>
          </w:p>
        </w:tc>
        <w:tc>
          <w:tcPr>
            <w:tcW w:w="161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10,223,719.00</w:t>
            </w:r>
          </w:p>
        </w:tc>
      </w:tr>
      <w:tr>
        <w:trPr>
          <w:trHeight w:val="540" w:hRule="auto"/>
          <w:jc w:val="left"/>
        </w:trPr>
        <w:tc>
          <w:tcPr>
            <w:tcW w:w="491" w:type="dxa"/>
            <w:tcBorders>
              <w:top w:val="single" w:color="7ba0cd" w:sz="8"/>
              <w:left w:val="single" w:color="7ba0cd" w:sz="8"/>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280"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Mallrat dhe  shërbim</w:t>
            </w:r>
          </w:p>
        </w:tc>
        <w:tc>
          <w:tcPr>
            <w:tcW w:w="1577"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1,600,000.00</w:t>
            </w:r>
          </w:p>
        </w:tc>
        <w:tc>
          <w:tcPr>
            <w:tcW w:w="1576"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1,600,000.00</w:t>
            </w:r>
          </w:p>
        </w:tc>
        <w:tc>
          <w:tcPr>
            <w:tcW w:w="1575"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1,720,559.00</w:t>
            </w:r>
          </w:p>
        </w:tc>
        <w:tc>
          <w:tcPr>
            <w:tcW w:w="1613"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1,850,000.00</w:t>
            </w:r>
          </w:p>
        </w:tc>
      </w:tr>
      <w:tr>
        <w:trPr>
          <w:trHeight w:val="510" w:hRule="auto"/>
          <w:jc w:val="left"/>
        </w:trPr>
        <w:tc>
          <w:tcPr>
            <w:tcW w:w="491" w:type="dxa"/>
            <w:tcBorders>
              <w:top w:val="single" w:color="7ba0cd" w:sz="8"/>
              <w:left w:val="single" w:color="7ba0cd" w:sz="8"/>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280"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Shërbime komunale</w:t>
            </w:r>
          </w:p>
        </w:tc>
        <w:tc>
          <w:tcPr>
            <w:tcW w:w="1577"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370,000.00</w:t>
            </w:r>
          </w:p>
        </w:tc>
        <w:tc>
          <w:tcPr>
            <w:tcW w:w="1576"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370,000.00</w:t>
            </w:r>
          </w:p>
        </w:tc>
        <w:tc>
          <w:tcPr>
            <w:tcW w:w="1575"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400,000.00</w:t>
            </w:r>
          </w:p>
        </w:tc>
        <w:tc>
          <w:tcPr>
            <w:tcW w:w="1613"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450,000.00</w:t>
            </w:r>
          </w:p>
        </w:tc>
      </w:tr>
      <w:tr>
        <w:trPr>
          <w:trHeight w:val="540" w:hRule="auto"/>
          <w:jc w:val="left"/>
        </w:trPr>
        <w:tc>
          <w:tcPr>
            <w:tcW w:w="491" w:type="dxa"/>
            <w:tcBorders>
              <w:top w:val="single" w:color="7ba0cd" w:sz="8"/>
              <w:left w:val="single" w:color="7ba0cd" w:sz="8"/>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w:t>
            </w:r>
          </w:p>
        </w:tc>
        <w:tc>
          <w:tcPr>
            <w:tcW w:w="280"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ffffff"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Subvencionet</w:t>
            </w:r>
          </w:p>
        </w:tc>
        <w:tc>
          <w:tcPr>
            <w:tcW w:w="1577"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800,000.00</w:t>
            </w:r>
          </w:p>
        </w:tc>
        <w:tc>
          <w:tcPr>
            <w:tcW w:w="1576"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800,000.00</w:t>
            </w:r>
          </w:p>
        </w:tc>
        <w:tc>
          <w:tcPr>
            <w:tcW w:w="1575"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820,000.00</w:t>
            </w:r>
          </w:p>
        </w:tc>
        <w:tc>
          <w:tcPr>
            <w:tcW w:w="1613" w:type="dxa"/>
            <w:tcBorders>
              <w:top w:val="single" w:color="7ba0cd" w:sz="8"/>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850,000.00</w:t>
            </w:r>
          </w:p>
        </w:tc>
      </w:tr>
      <w:tr>
        <w:trPr>
          <w:trHeight w:val="540" w:hRule="auto"/>
          <w:jc w:val="left"/>
        </w:trPr>
        <w:tc>
          <w:tcPr>
            <w:tcW w:w="491" w:type="dxa"/>
            <w:tcBorders>
              <w:top w:val="single" w:color="7ba0cd" w:sz="8"/>
              <w:left w:val="single" w:color="7ba0cd" w:sz="8"/>
              <w:bottom w:val="single" w:color="000000" w:sz="0"/>
              <w:right w:val="single" w:color="000000" w:sz="0"/>
            </w:tcBorders>
            <w:shd w:color="000000" w:fill="eeece1" w:val="clear"/>
            <w:tcMar>
              <w:left w:w="108" w:type="dxa"/>
              <w:right w:w="108" w:type="dxa"/>
            </w:tcMar>
            <w:vAlign w:val="top"/>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2.3</w:t>
            </w:r>
          </w:p>
        </w:tc>
        <w:tc>
          <w:tcPr>
            <w:tcW w:w="280"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 </w:t>
            </w:r>
          </w:p>
        </w:tc>
        <w:tc>
          <w:tcPr>
            <w:tcW w:w="2228" w:type="dxa"/>
            <w:tcBorders>
              <w:top w:val="single" w:color="000000" w:sz="0"/>
              <w:left w:val="single" w:color="000000" w:sz="0"/>
              <w:bottom w:val="single" w:color="7ba0cd" w:sz="8"/>
              <w:right w:val="single" w:color="000000" w:sz="0"/>
            </w:tcBorders>
            <w:shd w:color="000000" w:fill="eeece1" w:val="clear"/>
            <w:tcMar>
              <w:left w:w="108" w:type="dxa"/>
              <w:right w:w="108" w:type="dxa"/>
            </w:tcMar>
            <w:vAlign w:val="top"/>
          </w:tcPr>
          <w:p>
            <w:pPr>
              <w:spacing w:before="0" w:after="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 </w:t>
            </w:r>
            <w:r>
              <w:rPr>
                <w:rFonts w:ascii="Times New Roman" w:hAnsi="Times New Roman" w:cs="Times New Roman" w:eastAsia="Times New Roman"/>
                <w:b/>
                <w:color w:val="000000"/>
                <w:spacing w:val="0"/>
                <w:position w:val="0"/>
                <w:sz w:val="22"/>
                <w:shd w:fill="auto" w:val="clear"/>
              </w:rPr>
              <w:t xml:space="preserve">Shpenzimet Kapitale </w:t>
            </w:r>
          </w:p>
        </w:tc>
        <w:tc>
          <w:tcPr>
            <w:tcW w:w="1577"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4,001,798.00</w:t>
            </w:r>
          </w:p>
        </w:tc>
        <w:tc>
          <w:tcPr>
            <w:tcW w:w="1576"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4,201,798.00</w:t>
            </w:r>
          </w:p>
        </w:tc>
        <w:tc>
          <w:tcPr>
            <w:tcW w:w="1575"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4,331,956.00</w:t>
            </w:r>
          </w:p>
        </w:tc>
        <w:tc>
          <w:tcPr>
            <w:tcW w:w="1613" w:type="dxa"/>
            <w:tcBorders>
              <w:top w:val="single" w:color="7ba0cd" w:sz="8"/>
              <w:left w:val="single" w:color="000000" w:sz="0"/>
              <w:bottom w:val="single" w:color="000000" w:sz="0"/>
              <w:right w:val="single" w:color="000000" w:sz="0"/>
            </w:tcBorders>
            <w:shd w:color="000000" w:fill="eeece1" w:val="clear"/>
            <w:tcMar>
              <w:left w:w="108" w:type="dxa"/>
              <w:right w:w="108" w:type="dxa"/>
            </w:tcMar>
            <w:vAlign w:val="bottom"/>
          </w:tcPr>
          <w:p>
            <w:pPr>
              <w:spacing w:before="0" w:after="0" w:line="240"/>
              <w:ind w:right="0" w:left="0" w:firstLine="0"/>
              <w:jc w:val="right"/>
              <w:rPr>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4,888,385.00</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Figura 3: Shpenzimet komunale të planifikuara sipas kategorive ekonomike për 2027</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3.4.1 Pagat dhe Meditjet</w:t>
      </w:r>
      <w:r>
        <w:rPr>
          <w:rFonts w:ascii="Times New Roman" w:hAnsi="Times New Roman" w:cs="Times New Roman" w:eastAsia="Times New Roman"/>
          <w:color w:val="4F81BD"/>
          <w:spacing w:val="0"/>
          <w:position w:val="0"/>
          <w:sz w:val="24"/>
          <w:shd w:fill="auto" w:val="clear"/>
        </w:rPr>
        <w:t xml:space="preserve"> </w:t>
      </w:r>
      <w:r>
        <w:rPr>
          <w:rFonts w:ascii="Times New Roman" w:hAnsi="Times New Roman" w:cs="Times New Roman" w:eastAsia="Times New Roman"/>
          <w:color w:val="4F81BD"/>
          <w:spacing w:val="0"/>
          <w:position w:val="0"/>
          <w:sz w:val="24"/>
          <w:shd w:fill="auto" w:val="clear"/>
        </w:rPr>
        <w:t xml:space="preserve">–</w:t>
      </w:r>
      <w:r>
        <w:rPr>
          <w:rFonts w:ascii="Times New Roman" w:hAnsi="Times New Roman" w:cs="Times New Roman" w:eastAsia="Times New Roman"/>
          <w:color w:val="auto"/>
          <w:spacing w:val="0"/>
          <w:position w:val="0"/>
          <w:sz w:val="23"/>
          <w:shd w:fill="auto" w:val="clear"/>
        </w:rPr>
        <w:t xml:space="preserve"> </w:t>
      </w:r>
      <w:r>
        <w:rPr>
          <w:rFonts w:ascii="Times New Roman" w:hAnsi="Times New Roman" w:cs="Times New Roman" w:eastAsia="Times New Roman"/>
          <w:color w:val="4F81BD"/>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kjo kategori e shpenzimeve në periudhen afatmesme pritet të rritet me një mesatare prej 3.11%. Pjesëmarrja e kategorisë së pagave dhe mëditjeve në shpenzimet përgjithshme buxhetore komunale  në vitin 2027  pritet të mbetet në nivel të përafërt  rreth 58.61% e buxhetit. Buxheti për paga dhe meditje për vitin 2027 pritet të arrinë shumën prej </w:t>
      </w:r>
      <w:r>
        <w:rPr>
          <w:rFonts w:ascii="Times New Roman" w:hAnsi="Times New Roman" w:cs="Times New Roman" w:eastAsia="Times New Roman"/>
          <w:b/>
          <w:color w:val="auto"/>
          <w:spacing w:val="0"/>
          <w:position w:val="0"/>
          <w:sz w:val="24"/>
          <w:shd w:fill="auto" w:val="clear"/>
        </w:rPr>
        <w:t xml:space="preserve">9,873,719</w:t>
      </w:r>
      <w:r>
        <w:rPr>
          <w:rFonts w:ascii="Times New Roman" w:hAnsi="Times New Roman" w:cs="Times New Roman" w:eastAsia="Times New Roman"/>
          <w:b/>
          <w:color w:val="000000"/>
          <w:spacing w:val="0"/>
          <w:position w:val="0"/>
          <w:sz w:val="24"/>
          <w:shd w:fill="auto" w:val="clear"/>
        </w:rPr>
        <w:t xml:space="preserve">.00 euro (buxheti për gra 4,739,729.60 euro ose 48%  dhe buxheti për burra        5,133,989.38 euro ose 52</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4F81BD"/>
          <w:spacing w:val="0"/>
          <w:position w:val="0"/>
          <w:sz w:val="24"/>
          <w:shd w:fill="FFFF00"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3.4.2 Mallrat dhe Shërbimet -</w:t>
      </w:r>
      <w:r>
        <w:rPr>
          <w:rFonts w:ascii="Times New Roman" w:hAnsi="Times New Roman" w:cs="Times New Roman" w:eastAsia="Times New Roman"/>
          <w:color w:val="auto"/>
          <w:spacing w:val="0"/>
          <w:position w:val="0"/>
          <w:sz w:val="24"/>
          <w:shd w:fill="auto" w:val="clear"/>
        </w:rPr>
        <w:t xml:space="preserve">kategoria e shpenzimeve për mallra dhe shërbime në periudhen 2027 do të jetë e njëjtë krahasuar me vitin 2026. Ndërsa për periudhën 2028-2029 pritet të kemi një rritje të lehtë. Pjesëmarrja e kësaj kategorie të shpenzimeve në shpenzimet e përgjithshme buxhetore, në vitin 2027 pritet të jetë rreth  9.49%.  Buxheti për mallra dhe shërbime për vitin 2026 pritet të arrinë shumën prej </w:t>
      </w:r>
      <w:r>
        <w:rPr>
          <w:rFonts w:ascii="Times New Roman" w:hAnsi="Times New Roman" w:cs="Times New Roman" w:eastAsia="Times New Roman"/>
          <w:b/>
          <w:color w:val="000000"/>
          <w:spacing w:val="0"/>
          <w:position w:val="0"/>
          <w:sz w:val="24"/>
          <w:shd w:fill="auto" w:val="clear"/>
        </w:rPr>
        <w:t xml:space="preserve">1,600,000.00 euro (buxheti për gra  768,000.00 euro ose 48%  dhe buxheti për burra 832,000.00 euro ose 52</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b/>
          <w:color w:val="000000"/>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3.4.3 Shpenzimet komunale  - </w:t>
      </w:r>
      <w:r>
        <w:rPr>
          <w:rFonts w:ascii="Times New Roman" w:hAnsi="Times New Roman" w:cs="Times New Roman" w:eastAsia="Times New Roman"/>
          <w:color w:val="auto"/>
          <w:spacing w:val="0"/>
          <w:position w:val="0"/>
          <w:sz w:val="24"/>
          <w:shd w:fill="auto" w:val="clear"/>
        </w:rPr>
        <w:t xml:space="preserve">kategoria e shpenzimeve  komunale në periudhen 2027 do të jetë e njëjtë krahasuar me vitin 2026. Ndërsa për periudhën 2028-2029 pritet të kemi një rritje të lehtë. Pjesëmarrja e kësaj kategorie të shpenzimeve në shpenzimet e përgjithshme buxhetore, në vitin 2027 pritet të jetë rreth 2.19 %.  Buxheti për shpenzime komunale  për vitin 2027 pritet të arrinë shumën prej </w:t>
      </w:r>
      <w:r>
        <w:rPr>
          <w:rFonts w:ascii="Calibri" w:hAnsi="Calibri" w:cs="Calibri" w:eastAsia="Calibri"/>
          <w:b/>
          <w:color w:val="000000"/>
          <w:spacing w:val="0"/>
          <w:position w:val="0"/>
          <w:sz w:val="24"/>
          <w:shd w:fill="auto" w:val="clear"/>
        </w:rPr>
        <w:t xml:space="preserve">370,000.00 euro (buxheti për gra 177,600.00 euro ose 48%  dhe buxheti për burra 192,400.00 euro ose 52%</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00"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3.4.4 Subvencionet</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color w:val="auto"/>
          <w:spacing w:val="0"/>
          <w:position w:val="0"/>
          <w:sz w:val="24"/>
          <w:shd w:fill="auto" w:val="clear"/>
        </w:rPr>
        <w:t xml:space="preserve">   kjo kategori e shpenzimeve Subvencione dhe tansfere në periudhen 2027 do të jetë e njëjtë krahasuar me vitin 2026. Ndërsa për periudhën 2028-2029 pritet të kemi një rritje të lehtë. Pjesëmarrja e transfereve dhe subvenc.ioneve në shpenzimet e përgjithshme buxhetore në vitin 2027 pritet të jet rreth 4.74% . Në vitin  2027 subvencionet  do të shpenzohen  për shëndetësi ( ndihmë për shërime bazuar në kërkesat e deponuara), kulturë, rini e sport , arsim-bursa për student, bujqësi ) etj . Buxheti për subvencionime  për vitin 2027 pritet të arrinë shumën prej </w:t>
      </w:r>
      <w:r>
        <w:rPr>
          <w:rFonts w:ascii="Times New Roman" w:hAnsi="Times New Roman" w:cs="Times New Roman" w:eastAsia="Times New Roman"/>
          <w:b/>
          <w:color w:val="auto"/>
          <w:spacing w:val="0"/>
          <w:position w:val="0"/>
          <w:sz w:val="24"/>
          <w:shd w:fill="auto" w:val="clear"/>
        </w:rPr>
        <w:t xml:space="preserve">800</w:t>
      </w:r>
      <w:r>
        <w:rPr>
          <w:rFonts w:ascii="Calibri" w:hAnsi="Calibri" w:cs="Calibri" w:eastAsia="Calibri"/>
          <w:b/>
          <w:color w:val="000000"/>
          <w:spacing w:val="0"/>
          <w:position w:val="0"/>
          <w:sz w:val="24"/>
          <w:shd w:fill="auto" w:val="clear"/>
        </w:rPr>
        <w:t xml:space="preserve">,000.00 euro (buxheti për gra 408,840.00 euro ose 50.73%  dhe buxheti për burra 394,160.00 euro ose 49.27</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3.4.5 Investimet Kapitale -  </w:t>
      </w:r>
      <w:r>
        <w:rPr>
          <w:rFonts w:ascii="Times New Roman" w:hAnsi="Times New Roman" w:cs="Times New Roman" w:eastAsia="Times New Roman"/>
          <w:color w:val="auto"/>
          <w:spacing w:val="0"/>
          <w:position w:val="0"/>
          <w:sz w:val="24"/>
          <w:shd w:fill="auto" w:val="clear"/>
        </w:rPr>
        <w:t xml:space="preserve">kjo kategori e shpenzimeve në periudhen 2027-2029 do të shënojë rritje mesatare prej rreth 10.55% . Në vitin 2027 pritet rritje prej 4.75% krahasuar me vitin 2026.  Një pjesë e madhe e tyre planifikohet të financohet nga të hyrat vetanake të komunës. Rritje më e madhe e investimeve kapitale, nga buxheti i komunës do të bëhet në vitin 2028 dhe 2029. Pjesëmarrja e investimeve kapitale në totalin e shpenzimeve të komunës në vitin 2027  pritet të jetë  rreth  24.94 %.  Buxheti për investimet kapitale për vitin 2027 pritet të arrinë shumën prej </w:t>
      </w:r>
      <w:r>
        <w:rPr>
          <w:rFonts w:ascii="Times New Roman" w:hAnsi="Times New Roman" w:cs="Times New Roman" w:eastAsia="Times New Roman"/>
          <w:b/>
          <w:color w:val="auto"/>
          <w:spacing w:val="0"/>
          <w:position w:val="0"/>
          <w:sz w:val="24"/>
          <w:shd w:fill="auto" w:val="clear"/>
        </w:rPr>
        <w:t xml:space="preserve">4,201,798.00 e</w:t>
      </w:r>
      <w:r>
        <w:rPr>
          <w:rFonts w:ascii="Calibri" w:hAnsi="Calibri" w:cs="Calibri" w:eastAsia="Calibri"/>
          <w:b/>
          <w:color w:val="000000"/>
          <w:spacing w:val="0"/>
          <w:position w:val="0"/>
          <w:sz w:val="24"/>
          <w:shd w:fill="auto" w:val="clear"/>
        </w:rPr>
        <w:t xml:space="preserve">uro </w:t>
      </w:r>
      <w:r>
        <w:rPr>
          <w:rFonts w:ascii="Times New Roman" w:hAnsi="Times New Roman" w:cs="Times New Roman" w:eastAsia="Times New Roman"/>
          <w:b/>
          <w:color w:val="000000"/>
          <w:spacing w:val="0"/>
          <w:position w:val="0"/>
          <w:sz w:val="24"/>
          <w:shd w:fill="auto" w:val="clear"/>
        </w:rPr>
        <w:t xml:space="preserve">(buxheti për gra 2,131,572.12 euro ose 50.73%  dhe buxheti për burra 2,070,225.87 euro ose 49.27</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Tabelat në vijim janë një pasqyrë e shpërndarjes së shpenzimeve komunale në bazë  të programeve  dhe në bazë të kategorive ekonomike. Shpenzimet në vijim janë ato aktuale të vitit 2026, planifikimi për vitin e ardhshëm 2027 si dhe vlerësimet për vitet 2028 dhe 2029.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Tabela 5: Shpenzimet komunale sipas kategorive ekonomike dhe programeve </w:t>
      </w: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Viti aktual 2026</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Tabela 6: Shpenzimet komunale sipas kategorive ekonomike dhe programeve </w:t>
      </w: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Planifikimi 2027</w:t>
      </w: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r>
        <w:rPr>
          <w:rFonts w:ascii="Times New Roman" w:hAnsi="Times New Roman" w:cs="Times New Roman" w:eastAsia="Times New Roman"/>
          <w:b/>
          <w:color w:val="auto"/>
          <w:spacing w:val="0"/>
          <w:position w:val="0"/>
          <w:sz w:val="22"/>
          <w:shd w:fill="auto" w:val="clear"/>
        </w:rPr>
        <w:t xml:space="preserve">Tabela 7. Shpenzimet komunale sipas kategorive ekonomike dhe programeve - Vlerësimi 2028</w:t>
      </w: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FFFF00"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 8. Shpenzimet komunale sipas kategorive ekonomike dhe programeve - Vlerësimi 2029</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Kategoria Ekonomike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Investimet Kapitale - e prezantuar n</w:t>
      </w:r>
      <w:r>
        <w:rPr>
          <w:rFonts w:ascii="Times New Roman" w:hAnsi="Times New Roman" w:cs="Times New Roman" w:eastAsia="Times New Roman"/>
          <w:color w:val="auto"/>
          <w:spacing w:val="0"/>
          <w:position w:val="0"/>
          <w:sz w:val="24"/>
          <w:shd w:fill="auto" w:val="clear"/>
        </w:rPr>
        <w:t xml:space="preserve">ë detaje më poshtë paraqet një komponentë të rëndësishme të buxhetit të komunës e cila ndonëse nuk përfaqëson pjesën më të madhe të shpenzimeve të përgjithshme buxhetore, mbetet me rëndësi të posaqme në aspektin e planifikimit gjithëpërfshirës, për Komunën e Klinës.  Kjo kategori e shpenzimeve në kuadër të shpenzimeve të rregullta buxhetore, ka potencialin më të madh për të nxitur rritjen  ekonomike. Andaj, kjo kategori e shpenzimeve, edhe gjatë periudhës së ardhshme afatmesme, do të vazhdojë të jetë në funksion të krijimit të ambientit më të favorshëm për ngritje të pjesëmarrjes së sektorit privat, përmes përmirësimit të vazhdueshëm të infrastrukturës. Në këtë kontekst përmirësimi i infrastrukturës do të pozicionojë ekonominë e Komunës së Klinës në një rrugë të rritjes më të shpejtë dhe të qëndrueshme ekonomike në periudhë afatgjatë.</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Projektet me prioritet për vitin  2027</w:t>
      </w:r>
    </w:p>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p>
    <w:tbl>
      <w:tblPr/>
      <w:tblGrid>
        <w:gridCol w:w="416"/>
        <w:gridCol w:w="5458"/>
        <w:gridCol w:w="1266"/>
        <w:gridCol w:w="1470"/>
        <w:gridCol w:w="1374"/>
      </w:tblGrid>
      <w:tr>
        <w:trPr>
          <w:trHeight w:val="245" w:hRule="auto"/>
          <w:jc w:val="left"/>
        </w:trPr>
        <w:tc>
          <w:tcPr>
            <w:tcW w:w="41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Emri i projektit</w:t>
            </w:r>
          </w:p>
        </w:tc>
        <w:tc>
          <w:tcPr>
            <w:tcW w:w="126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Totali </w:t>
            </w:r>
          </w:p>
        </w:tc>
        <w:tc>
          <w:tcPr>
            <w:tcW w:w="1470"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10</w:t>
            </w:r>
          </w:p>
        </w:tc>
        <w:tc>
          <w:tcPr>
            <w:tcW w:w="1374"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21</w:t>
            </w:r>
          </w:p>
        </w:tc>
      </w:tr>
      <w:tr>
        <w:trPr>
          <w:trHeight w:val="63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rrugëve të Qytetit të Klinës me segmente te tyre: S.Rexhepi, M.Daka, M.Haxhaj, L.Palucaj, H.Prishtina, I.Qemajli, F.Bojaj, H.Krasniqi,  S.Rama, A.Rexha etj </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40,000.00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Klinë, rrugën Martirët e Pastaselit, Martirët e Kralanit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Bashkëfinancim me donatorë </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1,480,000.00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800,000.00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680,000.00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infrastruktures nëntokësore Videje-Polce-Paskalicë-Jagodë-Krushevë e Madhe</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63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segmenteve të tyre Malë Bashota, Dositej Obradoviq, Bekim Fehmiu, Heronjtë e Kombit dhe infrastruktures nëntokësore në Klinë-Dersnik-Dollc</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130,000.00 </w:t>
            </w:r>
          </w:p>
        </w:tc>
      </w:tr>
      <w:tr>
        <w:trPr>
          <w:trHeight w:val="424"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Zajmë-Deiq</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Poterq- Dugajevë-Drenovc</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Zllakuqan-Pataqan-Berkove, Krushevë e Vogël</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40,000.00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kanalizimit në Shtupel-Kërrnicë-Binxhe-Grapc</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Volljakë-Sferke-Qupevë-Dush</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Cerovik-Qabiq-Dobërdol</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Ranoc-Leskoc</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Siqeve-Ujmire-Shtarice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urës në Budisalcë-Rudice</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25,000.00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Gllareve-Rixheve-Stapanice-Zabergje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Gjurgjevik i Vogel-Klinavc</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ne Grabanice-Bokshiq-Dollove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Gjurgjevik i Madhë - Dush</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63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shtratit të lumit Klina, (Klinë-Burimi i Jarinës - Pogragjë-Ujmirë), Rregullimi i shtratit të lumit Lumëbardhi i Pejës dhe lumit Drini i Bradhë</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shtigjeve te ecjes dhe infrastrukture rrugore në Gryken e Jarines-Pogragjë</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Jashanicë-Jelloc-Resnik</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Perqevë edhe rrugën "Shpella Azem Bejta-Përqevë"</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mbitokësore dhe nëntokësore në Gremnik-Qupevë e Ulët</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Qeskovë-Kepuz-Rastoka</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Bedri Mustafa dhe Shaban Sadiku                        </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26</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"Shaban Polluzha dhe Haxhi Zeka"                       </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27</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"Vëllezrit Gërvalla"                         </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28</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Urës mbi Lumin Drini i Bardhë në Volljakë</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29</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sheshit të Qytetit të Klinës</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nxemjes qendrore për Qytetin e Klinës</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ujësjellësit në Drenovcë - Poterqi i Poshtëm-Dugujevë-Zajmë</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56,798.00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26,798.00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32</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Nënkalimit në Lagjen e Dukagjinit - Klinë          </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Urbanizmi</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3,171,798.00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2,050,000.00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1,121,798.00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sipërfaqeve të gjelbruara (Parqeve) në Këpuz, Shtupel, Zllakuqan, Gremnik, Volljak, Jashanicë, Klinë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85,000.00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55,000.00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63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rrjetit të ndriçimit publik në Dollc-Dresnik, Jashanicë, Drenovc, Shtupel, Klinë, Leskoc, Gremnik, Qupevë e Ulët, Siqevë, Resnik, Gj.Madh, Dush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40,000.00 </w:t>
            </w:r>
          </w:p>
        </w:tc>
      </w:tr>
      <w:tr>
        <w:trPr>
          <w:trHeight w:val="63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infrastrukturës mbitokësore me asfalt në Jashanicë, Gjurgjevik i Madhe, Shtupel, Zllakuqan-Leskoc, Klinë-Videjë, Zajmë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36</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impianteve për trajtimin e ujrave të zeza në Ranoc, Radulloc, Shtupel, Shtaricë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rrethojave të vorrezave në Gj.Madh, Volljak, Sferkë, Jashanicë, Siqevë, Gremnik, Zajm, K.e Vogël, Shtupel, Grabanicë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Infrastruktura rrugore</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505,000.00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335,000.00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170,000.00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38</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tabela te menqura ne shkolle në Çabiq, Ujmirë, Ismet Rraci, Motrat Qiriazi, Fehmi Agani, Luigj Gurakuqi etj</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83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39</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nxemjeve qendrore me pompa termike dhe nxemje me kaldaja me pelet në shkolla në Gjimnazin Luigj Gurakuqi, Gremnik, Këpuz, Zllakuqan, Gjurgjevik i Madh, Budisalc, Ujmirë, Drenoc, Volljak, Grabanicë, Jagodë, Shtupel etj</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55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Ndriqimi i hapësirave të jashtme në shkollën Ismet Rraci, Motrat Qiriazi, Gjimnazin Luigj Gurakuqi, Zllakuqan, Çerdhja e fëmijëve etj</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41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fushave sportive dhe parkingjeve në shkolla në Grabanicë, Siqevë, Zllakuqan, Leskoc, Sferkë etj</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91"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Arsimi</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170,000.00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120,000.00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r>
      <w:tr>
        <w:trPr>
          <w:trHeight w:val="282"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42</w:t>
            </w:r>
          </w:p>
        </w:tc>
        <w:tc>
          <w:tcPr>
            <w:tcW w:w="545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paisje mejksore per diagnostike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43</w:t>
            </w:r>
          </w:p>
        </w:tc>
        <w:tc>
          <w:tcPr>
            <w:tcW w:w="54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objekteve shendetesore: QKMF, AMF Drenoc, Ujmire, Zllakuqan dhe Gllareve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Shendetësia</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60,000.00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44</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Ndertimi i shtepise se pleqeve ne Kline </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FF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FF0000"/>
                <w:spacing w:val="0"/>
                <w:position w:val="0"/>
                <w:sz w:val="20"/>
                <w:shd w:fill="auto" w:val="clear"/>
              </w:rPr>
              <w:t xml:space="preserve">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Sherbimet Rezidenciale</w:t>
            </w:r>
          </w:p>
        </w:tc>
        <w:tc>
          <w:tcPr>
            <w:tcW w:w="1266"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45</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Objektit Komunal ne Kline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46</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Blerja e veturave zyrtare per nevoja te Administrates Komunale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35,000.00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Administrata</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115,000.00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c>
          <w:tcPr>
            <w:tcW w:w="1374" w:type="dxa"/>
            <w:tcBorders>
              <w:top w:val="single" w:color="000000" w:sz="0"/>
              <w:left w:val="single" w:color="000000" w:sz="0"/>
              <w:bottom w:val="single" w:color="000000" w:sz="4"/>
              <w:right w:val="single" w:color="000000" w:sz="0"/>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65,000.00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47</w:t>
            </w:r>
          </w:p>
        </w:tc>
        <w:tc>
          <w:tcPr>
            <w:tcW w:w="5458"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Objekteve Sportive te Kultures ne Kline</w:t>
            </w:r>
          </w:p>
        </w:tc>
        <w:tc>
          <w:tcPr>
            <w:tcW w:w="1266"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Kultura</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pajisje- aparat për matje gjeodezike</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Gjeodezia</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43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49</w:t>
            </w: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kanaleve të ujitjes në Rudicë-Stupë-Videjë- Zajm,Potërq-Dollovë, Volljakë-Këpuz etj</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245"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458"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Bujqesia</w:t>
            </w:r>
          </w:p>
        </w:tc>
        <w:tc>
          <w:tcPr>
            <w:tcW w:w="126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150,000.00 </w:t>
            </w:r>
          </w:p>
        </w:tc>
        <w:tc>
          <w:tcPr>
            <w:tcW w:w="147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100,000.00 </w:t>
            </w:r>
          </w:p>
        </w:tc>
        <w:tc>
          <w:tcPr>
            <w:tcW w:w="13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r>
      <w:tr>
        <w:trPr>
          <w:trHeight w:val="245" w:hRule="auto"/>
          <w:jc w:val="left"/>
        </w:trPr>
        <w:tc>
          <w:tcPr>
            <w:tcW w:w="4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458"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Totali :</w:t>
            </w:r>
          </w:p>
        </w:tc>
        <w:tc>
          <w:tcPr>
            <w:tcW w:w="126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4,201,798.00 </w:t>
            </w:r>
          </w:p>
        </w:tc>
        <w:tc>
          <w:tcPr>
            <w:tcW w:w="147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2,715,000.00 </w:t>
            </w:r>
          </w:p>
        </w:tc>
        <w:tc>
          <w:tcPr>
            <w:tcW w:w="13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1,486,798.00 </w:t>
            </w:r>
          </w:p>
        </w:tc>
      </w:tr>
    </w:tbl>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0"/>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Projektet me prioritet për vitin  2028</w:t>
      </w:r>
    </w:p>
    <w:tbl>
      <w:tblPr/>
      <w:tblGrid>
        <w:gridCol w:w="416"/>
        <w:gridCol w:w="4882"/>
        <w:gridCol w:w="1520"/>
        <w:gridCol w:w="1530"/>
        <w:gridCol w:w="1577"/>
      </w:tblGrid>
      <w:tr>
        <w:trPr>
          <w:trHeight w:val="210" w:hRule="auto"/>
          <w:jc w:val="left"/>
        </w:trPr>
        <w:tc>
          <w:tcPr>
            <w:tcW w:w="41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Emri i projektit</w:t>
            </w:r>
          </w:p>
        </w:tc>
        <w:tc>
          <w:tcPr>
            <w:tcW w:w="1520"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Totali </w:t>
            </w:r>
          </w:p>
        </w:tc>
        <w:tc>
          <w:tcPr>
            <w:tcW w:w="1530"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10</w:t>
            </w:r>
          </w:p>
        </w:tc>
        <w:tc>
          <w:tcPr>
            <w:tcW w:w="1577"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21</w:t>
            </w:r>
          </w:p>
        </w:tc>
      </w:tr>
      <w:tr>
        <w:trPr>
          <w:trHeight w:val="54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rrugëve të Qytetit të Klinës me segmente te tyre: S.Rexhepi, M.Daka, M.Haxhaj, L.Palucaj, H.Prishtina, I.Qemajli, F.Bojaj, H.Krasniqi,  S.Rama, A.Rexha etj </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Klinë, rrugën Martirët e Pastaselit, Martirët e Kralanit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Bashkëfinancim me donatorë </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710,000.00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790,000.00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infrastruktures nëntokësore Videje-Polce-Paskalicë-Jagodë-Krushevë e Madhe</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56,956.00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56,956.00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54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segmenteve të tyre Malë Bashota, Dositej Obradoviq, Bekim Fehmiu, Heronjtë e Kombit dhe infrastruktures nëntokësore në Klinë-Dersnik-Dollc</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Zajmë-Deiq</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Poterq- Dugajevë-Drenovc</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Zllakuqan-Pataqan-Berkove, Krushevë e Vogël</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kanalizimit në Shtupel-Kërrnicë-Binxhe-Grapc</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Volljakë-Sferke-Qupevë-Dush</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Cerovik-Qabiq-Dobërdol</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Ranoc-Leskoc</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Siqeve-Ujmire-Shtarice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45,000.00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urës në Budisalcë-Rudice</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Gllareve-Rixheve-Stapanice-Zabergje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Gjurgjevik i Vogel-Klinavc</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ne Grabanice-Bokshiq-Dollove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Gjurgjevik i Madhë - Dush</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54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shtratit të lumit Klina, (Klinë-Burimi i Jarinës - Pogragjë-Ujmirë), Rregullimi i shtratit të lumit Lumëbardhi i Pejës dhe lumit Drini i Bradhë</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shtigjeve te ecjes dhe infrastrukture rrugore në Gryken e Jarines-Pogragjë</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Jashanicë-Jelloc-Resnik</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Perqevë edhe rrugën "Shpella Azem Bejta-Përqevë"</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mbitokësore dhe nëntokësore në Gremnik-Qupevë e Ulët</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Qeskovë-Kepuz-Rastoka</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Bedri Mustafa dhe Shaban Sadiku                        </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26</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"Shaban Polluzha dhe Haxhi Zeka"                       </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27</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"Vëllezrit Gërvalla"                         </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28</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Urës mbi Lumin Drini i Bardhë në Volljakë</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29</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sheshit të Qytetit të Klinës</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nxemjes qendrore për Qytetin e Klinës</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ujësjellësit në Drenovcë - Poterqi i Poshtëm-Dugujevë-Zajmë</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32</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Nënkalimit në Lagjen e Dukagjinit - Klinë          </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Urbanizmi</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3,491,956.00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2,176,956.00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1,315,000.00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sipërfaqeve të gjelbruara (Parqeve) në Këpuz, Shtupel, Zllakuqan, Gremnik, Volljak, Jashanicë, Klinë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54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rrjetit të ndriçimit publik në Dollc-Dresnik, Jashanicë, Drenovc, Shtupel, Klinë, Leskoc, Gremnik, Qupevë e Ulët, Siqevë, Resnik, Gj.Madh, Dush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54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infrastrukturës mbitokësore me asfalt në Jashanicë, Gjurgjevik i Madhe, Shtupel, Zllakuqan-Leskoc, Klinë-Videjë, Zajmë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36</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impianteve për trajtimin e ujrave të zeza në Ranoc, Radulloc, Shtupel, Shtaricë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547"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rrethojave të vorrezave në Gj.Madh, Volljak, Sferkë, Jashanicë, Siqevë, Gremnik, Zajm, K.e Vogël, Shtupel, Grabanicë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80,000.00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Infrastruktura rrugore</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510,000.00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350,000.00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160,000.00 </w:t>
            </w:r>
          </w:p>
        </w:tc>
      </w:tr>
      <w:tr>
        <w:trPr>
          <w:trHeight w:val="241"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38</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tabela te menqura ne shkolle në Çabiq, Ujmirë, Ismet Rraci, Motrat Qiriazi, Fehmi Agani, Luigj Gurakuqi etj</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716"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39</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nxemjeve qendrore me pompa termike dhe nxemje me kaldaja me pelet në shkolla në Gjimnazin Luigj Gurakuqi, Gremnik, Këpuz, Zllakuqan, Gjurgjevik i Madh, Budisalc, Ujmirë, Drenoc, Volljak, Grabanicë, Jagodë, Shtupel etj</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406"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Ndriqimi i hapësirave të jashtme në shkollën Ismet Rraci, Motrat Qiriazi, Gjimnazin Luigj Gurakuqi, Zllakuqan, Çerdhja e fëmijëve etj</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273"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fushave sportive dhe parkingjeve në shkolla në Grabanicë, Siqevë, Zllakuqan, Leskoc, Sferkë etj</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Arsimi</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150,000.00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100,000.00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42</w:t>
            </w:r>
          </w:p>
        </w:tc>
        <w:tc>
          <w:tcPr>
            <w:tcW w:w="488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paisje mejksore per diagnostike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43</w:t>
            </w:r>
          </w:p>
        </w:tc>
        <w:tc>
          <w:tcPr>
            <w:tcW w:w="488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objekteve shendetesore: QKMF, AMF Drenoc, Ujmire, Zllakuqan dhe Gllareve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Shendetësia</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20,000.00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10,000.00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10,000.00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44</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Ndertimi i shtepise se pleqeve ne Kline </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Sherbimet Rezidenciale</w:t>
            </w:r>
          </w:p>
        </w:tc>
        <w:tc>
          <w:tcPr>
            <w:tcW w:w="152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45</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Objektit Komunal ne Kline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31"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46</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Blerja e veturave zyrtare per nevoja te Administrates Komunale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Administrata</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0"/>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47</w:t>
            </w:r>
          </w:p>
        </w:tc>
        <w:tc>
          <w:tcPr>
            <w:tcW w:w="4882"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 Sportive te Kultures ne Kline</w:t>
            </w:r>
          </w:p>
        </w:tc>
        <w:tc>
          <w:tcPr>
            <w:tcW w:w="152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Kultura</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pajisje- aparat për matje gjeodezike</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Gjeodezia</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368" w:hRule="auto"/>
          <w:jc w:val="left"/>
        </w:trPr>
        <w:tc>
          <w:tcPr>
            <w:tcW w:w="416"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49</w:t>
            </w: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kanaleve të ujitjes në Rudicë-Stupë-Videjë- Zajm,Potërq-Dollovë, Volljakë-Këpuz etj</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0" w:hRule="auto"/>
          <w:jc w:val="left"/>
        </w:trPr>
        <w:tc>
          <w:tcPr>
            <w:tcW w:w="416"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4882"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Bujqesia</w:t>
            </w:r>
          </w:p>
        </w:tc>
        <w:tc>
          <w:tcPr>
            <w:tcW w:w="152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100,000.00 </w:t>
            </w:r>
          </w:p>
        </w:tc>
        <w:tc>
          <w:tcPr>
            <w:tcW w:w="1530"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100,000.00 </w:t>
            </w:r>
          </w:p>
        </w:tc>
        <w:tc>
          <w:tcPr>
            <w:tcW w:w="1577"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10" w:hRule="auto"/>
          <w:jc w:val="left"/>
        </w:trPr>
        <w:tc>
          <w:tcPr>
            <w:tcW w:w="4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88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Totali :</w:t>
            </w:r>
          </w:p>
        </w:tc>
        <w:tc>
          <w:tcPr>
            <w:tcW w:w="15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4,331,956.00 </w:t>
            </w:r>
          </w:p>
        </w:tc>
        <w:tc>
          <w:tcPr>
            <w:tcW w:w="153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2,796,956.00 </w:t>
            </w:r>
          </w:p>
        </w:tc>
        <w:tc>
          <w:tcPr>
            <w:tcW w:w="1577"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1,535,000.00 </w:t>
            </w:r>
          </w:p>
        </w:tc>
      </w:tr>
    </w:tbl>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Projektet me prioritet për vitin  2029</w:t>
      </w:r>
    </w:p>
    <w:tbl>
      <w:tblPr/>
      <w:tblGrid>
        <w:gridCol w:w="427"/>
        <w:gridCol w:w="5570"/>
        <w:gridCol w:w="1301"/>
        <w:gridCol w:w="1378"/>
        <w:gridCol w:w="1301"/>
      </w:tblGrid>
      <w:tr>
        <w:trPr>
          <w:trHeight w:val="214" w:hRule="auto"/>
          <w:jc w:val="left"/>
        </w:trPr>
        <w:tc>
          <w:tcPr>
            <w:tcW w:w="42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Emri i projektit</w:t>
            </w:r>
          </w:p>
        </w:tc>
        <w:tc>
          <w:tcPr>
            <w:tcW w:w="1301"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Totali </w:t>
            </w:r>
          </w:p>
        </w:tc>
        <w:tc>
          <w:tcPr>
            <w:tcW w:w="1378"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10</w:t>
            </w:r>
          </w:p>
        </w:tc>
        <w:tc>
          <w:tcPr>
            <w:tcW w:w="1301"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21</w:t>
            </w:r>
          </w:p>
        </w:tc>
      </w:tr>
      <w:tr>
        <w:trPr>
          <w:trHeight w:val="559"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rrugëve të Qytetit të Klinës me segmente te tyre: S.Rexhepi, M.Daka, M.Haxhaj, L.Palucaj, H.Prishtina, I.Qemajli, F.Bojaj, H.Krasniqi,  S.Rama, A.Rexha etj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Ndërtimi i infrastruktures nëntokësore dhe mbitokësore në Klinë, rrugën Martirët e Pastaselit, Martirët e Kralanit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Klinë, rrugën Haxhi Zeka,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Bashkëfinancim me donatorë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1,638,385.00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1,010,000.00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628,385.00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infrastruktures nëntokësore Videje-Polce-Paskalicë-Jagodë-Krushevë e Madhe</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559"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segmenteve të tyre Malë Bashota, Dositej Obradoviq, Bekim Fehmiu, Heronjtë e Kombit dhe infrastruktures nëntokësore në Klinë-Dersnik-Dollc</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Zajmë-Deiq</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268"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Poterq- Dugajevë-Drenovc</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Zllakuqan-Pataqan-Berkove, Krushevë e Vogël</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40,000.00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258"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kanalizimit në Shtupel-Kërrnicë-Binxhe-Grapc</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Volljakë-Sferke-Qupevë-Dush</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Cerovik-Qabiq-Dobërdol</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Ranoc-Leskoc</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Siqeve-Ujmire-Shtarice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40,000.00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urës në Budisalcë-Rudice</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Gllareve-Rixheve-Stapanice-Zabergje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Gjurgjevik i Vogel-Klinavc</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ne Grabanice-Bokshiq-Dollove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Gjurgjevik i Madhë - Dush</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463"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shtratit të lumit Klina, (Klinë-Burimi i Jarinës - Pogragjë-Ujmirë), Rregullimi i shtratit të lumit Lumëbardhi i Pejës dhe lumit Drini i Bradhë</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shtigjeve te ecjes dhe infrastrukture rrugore në Gryken e Jarines-Pogragjë</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Jashanicë-Jelloc-Resnik</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Perqevë edhe rrugën "Shpella Azem Bejta-Përqevë"</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mbitokësore dhe nëntokësore në Gremnik-Qupevë e Ulët</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Qeskovë-Kepuz-Rastoka</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26</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Bedri Mustafa dhe Shaban Sadiku                        </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27</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"Shaban Polluzha dhe Haxhi Zeka"                       </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28</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"Vëllezrit Gërvalla"                         </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29</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Urës mbi Lumin Drini i Bardhë në Volljakë</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sheshit të Qytetit të Klinës</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nxemjes qendrore për Qytetin e Klinës</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32</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ujësjellësit në Drenovcë - Poterqi i Poshtëm-Dugujevë-Zajmë</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Nënkalimit në Lagjen e Dukagjinit - Klinë          </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Urbanizmi</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3,608,385.00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2,310,000.00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1,298,385.00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sipërfaqeve të gjelbruara (Parqeve) në Këpuz, Shtupel, Zllakuqan, Gremnik, Volljak, Jashanicë, Klinë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559"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rrjetit të ndriçimit publik në Dollc-Dresnik, Jashanicë, Drenovc, Shtupel, Klinë, Leskoc, Gremnik, Qupevë e Ulët, Siqevë, Resnik, Gj.Madh, Dush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36</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infrastrukturës mbitokësore me asfalt në Jashanicë, Gjurgjevik i Madhe, Shtupel, Zllakuqan-Leskoc, Klinë-Videjë, Zajmë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impianteve për trajtimin e ujrave të zeza në Ranoc, Radulloc, Shtupel, Shtaricë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38</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rrethojave të vorrezave në Gj.Madh, Volljak, Sferkë, Jashanicë, Siqevë, Gremnik, Zajm, K.e Vogël, Shtupel, Grabanicë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80,000.00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Infrastruktura rrugore</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640,000.00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480,000.00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160,000.00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39</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tabela te menqura ne shkolle në Çabiq, Ujmirë, Ismet Rraci, Motrat Qiriazi, Fehmi Agani, Luigj Gurakuqi etj</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732"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nxemjeve qendrore me pompa termike dhe nxemje me kaldaja me pelet në shkolla në Gjimnazin Luigj Gurakuqi, Gremnik, Këpuz, Zllakuqan, Gjurgjevik i Madh, Budisalc, Ujmirë, Drenoc, Volljak, Grabanicë, Jagodë, Shtupel etj</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80,000.00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65"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Ndriqimi i hapësirave të jashtme në shkollën Ismet Rraci, Motrat Qiriazi, Gjimnazin Luigj Gurakuqi, Zllakuqan, Çerdhja e fëmijëve etj</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r>
      <w:tr>
        <w:trPr>
          <w:trHeight w:val="365"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42</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fushave sportive dhe parkingjeve në shkolla në Grabanicë, Siqevë, Zllakuqan, Leskoc, Sferkë etj</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Arsimi</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210,000.00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170,000.00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43</w:t>
            </w:r>
          </w:p>
        </w:tc>
        <w:tc>
          <w:tcPr>
            <w:tcW w:w="557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paisje mejksore per diagnostike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44</w:t>
            </w:r>
          </w:p>
        </w:tc>
        <w:tc>
          <w:tcPr>
            <w:tcW w:w="557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objekteve shendetesore: QKMF, AMF Drenoc, Ujmire, Zllakuqan dhe Gllareve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Shendetësia</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70,000.00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45</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Ndertimi i shtepise se pleqeve ne Kline </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Sherbimet Rezidenciale</w:t>
            </w:r>
          </w:p>
        </w:tc>
        <w:tc>
          <w:tcPr>
            <w:tcW w:w="1301"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46</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Objektit Komunal ne Kline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47</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Blerja e veturave zyrtare per nevoja te Administrates Komunale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Administrata</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65,000.00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c>
          <w:tcPr>
            <w:tcW w:w="1301" w:type="dxa"/>
            <w:tcBorders>
              <w:top w:val="single" w:color="000000" w:sz="0"/>
              <w:left w:val="single" w:color="000000" w:sz="0"/>
              <w:bottom w:val="single" w:color="000000" w:sz="4"/>
              <w:right w:val="single" w:color="000000" w:sz="0"/>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w:t>
            </w:r>
          </w:p>
        </w:tc>
        <w:tc>
          <w:tcPr>
            <w:tcW w:w="5570" w:type="dxa"/>
            <w:tcBorders>
              <w:top w:val="single" w:color="000000" w:sz="0"/>
              <w:left w:val="single" w:color="000000" w:sz="4"/>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 Sportive te Kultures ne Kline</w:t>
            </w:r>
          </w:p>
        </w:tc>
        <w:tc>
          <w:tcPr>
            <w:tcW w:w="1301"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55,000.00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25,000.00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Kultura</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80,000.00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55,000.00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25,000.00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49</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pajisje- aparat për matje gjeodezike</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Gjeodezia</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15,000.00 </w:t>
            </w:r>
          </w:p>
        </w:tc>
      </w:tr>
      <w:tr>
        <w:trPr>
          <w:trHeight w:val="376" w:hRule="auto"/>
          <w:jc w:val="left"/>
        </w:trPr>
        <w:tc>
          <w:tcPr>
            <w:tcW w:w="427" w:type="dxa"/>
            <w:tcBorders>
              <w:top w:val="single" w:color="000000" w:sz="0"/>
              <w:left w:val="single" w:color="000000" w:sz="4"/>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w:t>
            </w: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kanaleve të ujitjes në Rudicë-Stupë-Videjë- Zajm,Potërq-Dollovë, Volljakë-Këpuz etj</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200,000.00</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50,000.00 </w:t>
            </w:r>
          </w:p>
        </w:tc>
      </w:tr>
      <w:tr>
        <w:trPr>
          <w:trHeight w:val="214" w:hRule="auto"/>
          <w:jc w:val="left"/>
        </w:trPr>
        <w:tc>
          <w:tcPr>
            <w:tcW w:w="427" w:type="dxa"/>
            <w:tcBorders>
              <w:top w:val="single" w:color="000000" w:sz="0"/>
              <w:left w:val="single" w:color="000000" w:sz="4"/>
              <w:bottom w:val="single" w:color="000000" w:sz="4"/>
              <w:right w:val="single" w:color="000000" w:sz="0"/>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557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Bujqesia</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200,000.00 </w:t>
            </w:r>
          </w:p>
        </w:tc>
        <w:tc>
          <w:tcPr>
            <w:tcW w:w="1378"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150,000.00 </w:t>
            </w:r>
          </w:p>
        </w:tc>
        <w:tc>
          <w:tcPr>
            <w:tcW w:w="1301"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50,000.00 </w:t>
            </w:r>
          </w:p>
        </w:tc>
      </w:tr>
      <w:tr>
        <w:trPr>
          <w:trHeight w:val="214" w:hRule="auto"/>
          <w:jc w:val="left"/>
        </w:trPr>
        <w:tc>
          <w:tcPr>
            <w:tcW w:w="42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557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Totali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4,888,385.00 </w:t>
            </w:r>
          </w:p>
        </w:tc>
        <w:tc>
          <w:tcPr>
            <w:tcW w:w="137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3,265,000.00 </w:t>
            </w:r>
          </w:p>
        </w:tc>
        <w:tc>
          <w:tcPr>
            <w:tcW w:w="1301"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1,623,385.00 </w:t>
            </w:r>
          </w:p>
        </w:tc>
      </w:tr>
    </w:tbl>
    <w:p>
      <w:pPr>
        <w:spacing w:before="0" w:after="0" w:line="276"/>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3.5. Analiza Gjinore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Buxhetimi Gjinor</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nuk ka përgatitur një KAB të përgjegjshëm gjinor të detajuar, por është përpjekur për të vlerësuar se si shpenzimet kapitale janë ndarë për të adresuar çdo pabarazi gjinore në planifikimin e ardhshëm buxhetor. Ne kemi analizuar numrin e grave dhe burrave, djemve dhe vajzave në kuadër të komunës, dhe  paraqesim këtë informacion në tabelën e mëposhtme: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Tabela 9: Përqindja sipas gjinisë</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2520"/>
        <w:gridCol w:w="2740"/>
        <w:gridCol w:w="2520"/>
      </w:tblGrid>
      <w:tr>
        <w:trPr>
          <w:trHeight w:val="1044" w:hRule="auto"/>
          <w:jc w:val="left"/>
        </w:trPr>
        <w:tc>
          <w:tcPr>
            <w:tcW w:w="25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Kategoria</w:t>
            </w:r>
          </w:p>
        </w:tc>
        <w:tc>
          <w:tcPr>
            <w:tcW w:w="274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Shifrat sipas Regjistrimit të Popullsisë 2024</w:t>
            </w:r>
          </w:p>
        </w:tc>
        <w:tc>
          <w:tcPr>
            <w:tcW w:w="252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w:t>
            </w:r>
          </w:p>
        </w:tc>
      </w:tr>
      <w:tr>
        <w:trPr>
          <w:trHeight w:val="324" w:hRule="auto"/>
          <w:jc w:val="left"/>
        </w:trPr>
        <w:tc>
          <w:tcPr>
            <w:tcW w:w="2520"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Meshkuj</w:t>
            </w:r>
          </w:p>
        </w:tc>
        <w:tc>
          <w:tcPr>
            <w:tcW w:w="274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15029</w:t>
            </w:r>
          </w:p>
        </w:tc>
        <w:tc>
          <w:tcPr>
            <w:tcW w:w="252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49.27</w:t>
            </w:r>
          </w:p>
        </w:tc>
      </w:tr>
      <w:tr>
        <w:trPr>
          <w:trHeight w:val="360" w:hRule="auto"/>
          <w:jc w:val="left"/>
        </w:trPr>
        <w:tc>
          <w:tcPr>
            <w:tcW w:w="2520"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Femra</w:t>
            </w:r>
          </w:p>
        </w:tc>
        <w:tc>
          <w:tcPr>
            <w:tcW w:w="274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15474</w:t>
            </w:r>
          </w:p>
        </w:tc>
        <w:tc>
          <w:tcPr>
            <w:tcW w:w="252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50.73</w:t>
            </w:r>
          </w:p>
        </w:tc>
      </w:tr>
      <w:tr>
        <w:trPr>
          <w:trHeight w:val="720" w:hRule="auto"/>
          <w:jc w:val="left"/>
        </w:trPr>
        <w:tc>
          <w:tcPr>
            <w:tcW w:w="2520"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Popullata e përgjithshme</w:t>
            </w:r>
          </w:p>
        </w:tc>
        <w:tc>
          <w:tcPr>
            <w:tcW w:w="274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30503</w:t>
            </w:r>
          </w:p>
        </w:tc>
        <w:tc>
          <w:tcPr>
            <w:tcW w:w="252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100</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Komuna i ka përdorur më pas të dhënat specifike gjinore që janë në dispozicion për të vlerësuar ndikimin gjinor të projekteve kapitale në kuadër të buxhetit të 2027-2029. Për shembull, kur një projekt është për qytet  apo për një fshat, për një rrugë, gypat e ujësjellësit,  për qendër shëndetësore etj. ne kemi përdorur të dhënat e ndarjes së popullsisë në mes meshkujve dhe femrave  për atë zonë. Kur një projekt është për një shkollë të veçantë ne kemi përdorur numrat e nxënësve: meshkuj dhe femra. Kur një projekt ndikon në tërë komunën (duke përfshirë projektet për administratën komunale) në përdorim analizën e përgjithshme të popullsisë nga viti 2024.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440"/>
        <w:gridCol w:w="3899"/>
        <w:gridCol w:w="1392"/>
        <w:gridCol w:w="1116"/>
        <w:gridCol w:w="1116"/>
        <w:gridCol w:w="1116"/>
        <w:gridCol w:w="1074"/>
      </w:tblGrid>
      <w:tr>
        <w:trPr>
          <w:trHeight w:val="226" w:hRule="auto"/>
          <w:jc w:val="left"/>
        </w:trPr>
        <w:tc>
          <w:tcPr>
            <w:tcW w:w="10153" w:type="dxa"/>
            <w:gridSpan w:val="7"/>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Tab.10. Numri i përfituesëve në baza gjinore nga investimet kapitale në vitin 2027</w:t>
            </w:r>
          </w:p>
          <w:p>
            <w:pPr>
              <w:spacing w:before="0" w:after="0" w:line="240"/>
              <w:ind w:right="0" w:left="0" w:firstLine="0"/>
              <w:jc w:val="left"/>
              <w:rPr>
                <w:spacing w:val="0"/>
                <w:position w:val="0"/>
                <w:shd w:fill="auto" w:val="clear"/>
              </w:rPr>
            </w:pPr>
          </w:p>
        </w:tc>
      </w:tr>
      <w:tr>
        <w:trPr>
          <w:trHeight w:val="421" w:hRule="auto"/>
          <w:jc w:val="left"/>
        </w:trPr>
        <w:tc>
          <w:tcPr>
            <w:tcW w:w="44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3899"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Projektet me prioritet për vitin  2027</w:t>
            </w:r>
          </w:p>
        </w:tc>
        <w:tc>
          <w:tcPr>
            <w:tcW w:w="139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18"/>
                <w:shd w:fill="auto" w:val="clear"/>
              </w:rPr>
              <w:t xml:space="preserve"> </w:t>
            </w:r>
          </w:p>
        </w:tc>
        <w:tc>
          <w:tcPr>
            <w:tcW w:w="4422" w:type="dxa"/>
            <w:gridSpan w:val="4"/>
            <w:tcBorders>
              <w:top w:val="single" w:color="000000" w:sz="4"/>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Nr.i perfituesve  në baza gjinore</w:t>
            </w:r>
          </w:p>
        </w:tc>
      </w:tr>
      <w:tr>
        <w:trPr>
          <w:trHeight w:val="831" w:hRule="auto"/>
          <w:jc w:val="left"/>
        </w:trPr>
        <w:tc>
          <w:tcPr>
            <w:tcW w:w="440" w:type="dxa"/>
            <w:tcBorders>
              <w:top w:val="single" w:color="000000" w:sz="0"/>
              <w:left w:val="single" w:color="000000" w:sz="8"/>
              <w:bottom w:val="single" w:color="000000" w:sz="0"/>
              <w:right w:val="single" w:color="000000" w:sz="8"/>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18"/>
                <w:shd w:fill="auto" w:val="clear"/>
              </w:rPr>
              <w:t xml:space="preserve"> </w:t>
            </w:r>
          </w:p>
        </w:tc>
        <w:tc>
          <w:tcPr>
            <w:tcW w:w="3899" w:type="dxa"/>
            <w:tcBorders>
              <w:top w:val="single" w:color="000000" w:sz="0"/>
              <w:left w:val="single" w:color="000000" w:sz="0"/>
              <w:bottom w:val="single" w:color="000000" w:sz="0"/>
              <w:right w:val="single" w:color="000000" w:sz="8"/>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8"/>
                <w:shd w:fill="auto" w:val="clear"/>
              </w:rPr>
              <w:t xml:space="preserve">Emri i projektit</w:t>
            </w:r>
          </w:p>
        </w:tc>
        <w:tc>
          <w:tcPr>
            <w:tcW w:w="1392" w:type="dxa"/>
            <w:tcBorders>
              <w:top w:val="single" w:color="000000" w:sz="0"/>
              <w:left w:val="single" w:color="000000" w:sz="0"/>
              <w:bottom w:val="single" w:color="000000" w:sz="0"/>
              <w:right w:val="single" w:color="000000" w:sz="8"/>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8"/>
                <w:shd w:fill="auto" w:val="clear"/>
              </w:rPr>
              <w:t xml:space="preserve">Totali</w:t>
            </w:r>
          </w:p>
        </w:tc>
        <w:tc>
          <w:tcPr>
            <w:tcW w:w="1116" w:type="dxa"/>
            <w:tcBorders>
              <w:top w:val="single" w:color="000000" w:sz="0"/>
              <w:left w:val="single" w:color="000000" w:sz="0"/>
              <w:bottom w:val="single" w:color="000000" w:sz="0"/>
              <w:right w:val="single" w:color="000000" w:sz="8"/>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Meshkuj</w:t>
            </w:r>
          </w:p>
        </w:tc>
        <w:tc>
          <w:tcPr>
            <w:tcW w:w="1116" w:type="dxa"/>
            <w:tcBorders>
              <w:top w:val="single" w:color="000000" w:sz="0"/>
              <w:left w:val="single" w:color="000000" w:sz="0"/>
              <w:bottom w:val="single" w:color="000000" w:sz="0"/>
              <w:right w:val="single" w:color="000000" w:sz="8"/>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Femra</w:t>
            </w:r>
          </w:p>
        </w:tc>
        <w:tc>
          <w:tcPr>
            <w:tcW w:w="1116" w:type="dxa"/>
            <w:tcBorders>
              <w:top w:val="single" w:color="000000" w:sz="0"/>
              <w:left w:val="single" w:color="000000" w:sz="4"/>
              <w:bottom w:val="single" w:color="000000" w:sz="0"/>
              <w:right w:val="single" w:color="000000" w:sz="4"/>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Totali</w:t>
            </w:r>
          </w:p>
        </w:tc>
        <w:tc>
          <w:tcPr>
            <w:tcW w:w="1074" w:type="dxa"/>
            <w:tcBorders>
              <w:top w:val="single" w:color="000000" w:sz="0"/>
              <w:left w:val="single" w:color="000000" w:sz="0"/>
              <w:bottom w:val="single" w:color="000000" w:sz="0"/>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Perqindja e femrave ne raport me meshkuj</w:t>
            </w:r>
          </w:p>
        </w:tc>
      </w:tr>
      <w:tr>
        <w:trPr>
          <w:trHeight w:val="831" w:hRule="auto"/>
          <w:jc w:val="left"/>
        </w:trPr>
        <w:tc>
          <w:tcPr>
            <w:tcW w:w="44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w:t>
            </w:r>
          </w:p>
        </w:tc>
        <w:tc>
          <w:tcPr>
            <w:tcW w:w="3899"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rrugëve të Qytetit të Klinës me segmente te tyre: S.Rexhepi, M.Daka, M.Haxhaj, L.Palucaj, H.Prishtina, I.Qemajli, F.Bojaj, Sh.Sadiku, H.Krasniqi,  S.Rama, A.Rexha etj </w:t>
            </w:r>
          </w:p>
        </w:tc>
        <w:tc>
          <w:tcPr>
            <w:tcW w:w="139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11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2695</w:t>
            </w:r>
          </w:p>
        </w:tc>
        <w:tc>
          <w:tcPr>
            <w:tcW w:w="111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2832</w:t>
            </w:r>
          </w:p>
        </w:tc>
        <w:tc>
          <w:tcPr>
            <w:tcW w:w="1116"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5527</w:t>
            </w:r>
          </w:p>
        </w:tc>
        <w:tc>
          <w:tcPr>
            <w:tcW w:w="1074"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51.24</w:t>
            </w:r>
          </w:p>
        </w:tc>
      </w:tr>
      <w:tr>
        <w:trPr>
          <w:trHeight w:val="437"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Klinë, rrugën Martirët e Pastaselit, Martirët e Kralanit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2898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3043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5941</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51.22</w:t>
            </w:r>
          </w:p>
        </w:tc>
      </w:tr>
      <w:tr>
        <w:trPr>
          <w:trHeight w:val="317"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Bashkëfinancim me donatorë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1,480,000.00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15029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15474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30503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56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rrugëve dhe infrastruktures nëntokësore Videje-Polce-Paskalicë-Jagodë-Krushevë e Madhe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521</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541</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1062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50.94</w:t>
            </w:r>
          </w:p>
        </w:tc>
      </w:tr>
      <w:tr>
        <w:trPr>
          <w:trHeight w:val="866"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Ndërtimi i segmenteve të rrugës Malë Bashota, Dositej Obradoviq, Bekim Fehmiu, Shaban Sadiku, Heronjtë e Kombit dhe infrastruktures nëntokësore në Klinë-Dersnik-Dollc</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4312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4473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8785</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50.92</w:t>
            </w:r>
          </w:p>
        </w:tc>
      </w:tr>
      <w:tr>
        <w:trPr>
          <w:trHeight w:val="481"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(Trotuare) dhe infrastruktures nëntokësore në Zajmë-Deiq</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604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1178</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51.27</w:t>
            </w:r>
          </w:p>
        </w:tc>
      </w:tr>
      <w:tr>
        <w:trPr>
          <w:trHeight w:val="470"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Poterq- Dugajevë-Drenovc</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603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599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1202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49.83</w:t>
            </w:r>
          </w:p>
        </w:tc>
      </w:tr>
      <w:tr>
        <w:trPr>
          <w:trHeight w:val="56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Zllakuqan-Pataqan-Berkove, Krushevë e Vogël (trotuari Klinë-Zllakuqan)</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413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458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871</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52.58</w:t>
            </w:r>
          </w:p>
        </w:tc>
      </w:tr>
      <w:tr>
        <w:trPr>
          <w:trHeight w:val="393"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w:t>
            </w:r>
          </w:p>
        </w:tc>
        <w:tc>
          <w:tcPr>
            <w:tcW w:w="389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Ndërtimi  i rrugëve dhe kanalizimit në Shtupel-Kërrnicë-Binxhe-Grapc</w:t>
            </w:r>
          </w:p>
        </w:tc>
        <w:tc>
          <w:tcPr>
            <w:tcW w:w="139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3347</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3485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6832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51.01</w:t>
            </w:r>
          </w:p>
        </w:tc>
      </w:tr>
      <w:tr>
        <w:trPr>
          <w:trHeight w:val="415"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w:t>
            </w:r>
          </w:p>
        </w:tc>
        <w:tc>
          <w:tcPr>
            <w:tcW w:w="3899"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Volljakë-Sferke-Qupevë-Dush</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1393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1486</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2879</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51.62</w:t>
            </w:r>
          </w:p>
        </w:tc>
      </w:tr>
      <w:tr>
        <w:trPr>
          <w:trHeight w:val="404"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Cerovik-Qabiq-Dobërdol</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803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858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1661</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51.66</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Ranoc-Leskoc</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190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189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379</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49.87</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Siqeve-Ujmire-Shtarice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566</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573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1139</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50.31</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urës në Budisalcë-Rudice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273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561</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48.66</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Gllareve-Rixheve-Stapanice-Zabergje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1304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1363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2667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51.11</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Gjurgjevik i Vogel-Klinavc</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533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523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1056</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49.53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nentokesore dhe mbitokësore ne Grabanice-Bokshiq-Dollove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589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584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1173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49.79</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infrastruktures nëntokësore Gjurgjevik i Madhë - Dush</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272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301</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573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52.53</w:t>
            </w:r>
          </w:p>
        </w:tc>
      </w:tr>
      <w:tr>
        <w:trPr>
          <w:trHeight w:val="56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shtratit të lumit Klina, (Klinë-Burimi i Jarinës - Pogragjë-Ujmirë), Rregullimi i shtratit të lumit Lumëbardhi i Pejës dhe lumit Drini i Bradhë</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15029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15474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30503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shtigjeve te ecjes dhe infrastrukture rrugore në Gryken e Jarines-Pogragjë</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15029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15474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30503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infrastrukturës mbitokësore dhe nëntokësore në Jashanicë-Jelloc-Resnik</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755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727</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1482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49.06</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Perqevë edhe rrugën "Shpella Azem Bejta-Përqevë"</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15029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15474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30503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mbitokësore dhe nëntokësore në Gremnik-Qupevë e Ulët</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640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682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1322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51.59</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25</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infrastruktures nëntokësore dhe mbitokësore në Qeskovë-Kepuz-Rastoka</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333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322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655</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49.16</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26</w:t>
            </w:r>
          </w:p>
        </w:tc>
        <w:tc>
          <w:tcPr>
            <w:tcW w:w="389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Ndërtimi i rrugës Bedri Mustafa dhe Shaban Sadiku                        </w:t>
            </w:r>
          </w:p>
        </w:tc>
        <w:tc>
          <w:tcPr>
            <w:tcW w:w="139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2695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2832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5527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51.24</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27</w:t>
            </w:r>
          </w:p>
        </w:tc>
        <w:tc>
          <w:tcPr>
            <w:tcW w:w="3899"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"Shaban Polluzha" dhe "Haxhi Zeka"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2695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2832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5527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51.24</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28</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rrugës "Vëllezrit Gërvalla"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#DIV/0!</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29</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Urës mbi Lumin Drini i Bardhë në Volljakë</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2695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2832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5527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51.24</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sheshit të Qytetit të Klinës</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287</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316</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52.40</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nxemjes qendrore për Qytetin e Klinës</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2695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2832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5527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51.24</w:t>
            </w:r>
          </w:p>
        </w:tc>
      </w:tr>
      <w:tr>
        <w:trPr>
          <w:trHeight w:val="437"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32</w:t>
            </w:r>
          </w:p>
        </w:tc>
        <w:tc>
          <w:tcPr>
            <w:tcW w:w="389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Ndërtimi i ujësjellësit në Drenovcë - Poterqi i Poshtëm-Dugujevë-Zajmë</w:t>
            </w:r>
          </w:p>
        </w:tc>
        <w:tc>
          <w:tcPr>
            <w:tcW w:w="1392"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56,798.00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831</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846</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1677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50.45</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32</w:t>
            </w:r>
          </w:p>
        </w:tc>
        <w:tc>
          <w:tcPr>
            <w:tcW w:w="3899"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Ndërtimi i Nënkalimit në Lagjen e Dukagjinit - Klinë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2695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2832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5527</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51.24</w:t>
            </w:r>
          </w:p>
        </w:tc>
      </w:tr>
      <w:tr>
        <w:trPr>
          <w:trHeight w:val="524"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Urbanizmi</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     3,171,798.00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95043</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98302</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193345</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50.84</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31</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sipërfaqeve të gjelbruara (Parqeve) në Këpuz, Shtupel, Zllakuqan, Gremnik, Volljak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85,000.00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1429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1514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2943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51.44</w:t>
            </w:r>
          </w:p>
        </w:tc>
      </w:tr>
      <w:tr>
        <w:trPr>
          <w:trHeight w:val="56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32</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Zgjerimi i rrjetit të ndriçimit publik në Dollc-Dresnik, Jashanicë, Drenovc, Shtupel, Klinë, Leskoc, Gremnik, Qupevë e Ulët, Siqevë, Resnik, Gj.Madh, Dush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6855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7058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13913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Rindërtimi i infrastrukturës mbitokësore me asfalt në Jashanicë, Shtupel, Zllakuqan, Klinë-Videjë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170,000.00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4015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4164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8179</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50.91</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36</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impianteve për trajtimin e ujrave të zeza në Ranoc, Radulloc, Shtupel, Shtaricë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992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49.80</w:t>
            </w:r>
          </w:p>
        </w:tc>
      </w:tr>
      <w:tr>
        <w:trPr>
          <w:trHeight w:val="56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38</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rrethojave të vorrezave në Gj.Madh, Volljak, Sferkë, Jashanicë, Siqevë, Gremnik, Zajm, K.e Vogël, Shtupel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3473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3587</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7060</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50.81</w:t>
            </w:r>
          </w:p>
        </w:tc>
      </w:tr>
      <w:tr>
        <w:trPr>
          <w:trHeight w:val="404"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Infrastruktura rrugore</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505,000.00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16,270.00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16,817.00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33,087.00</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50.83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39</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tabela te menqura ne shkolle në Çabiq, Ujmirë, Ismet Rraci, Motrat Qiriazi, Fehmi Agani, Luigj Gurakuqi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3498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3422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6920</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49.45</w:t>
            </w:r>
          </w:p>
        </w:tc>
      </w:tr>
      <w:tr>
        <w:trPr>
          <w:trHeight w:val="743"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nxemjeve qendrore me pompa termike dhe nxemje me kaldaja me pelet në shkolla në Gjimnazin Luigj Gurakuqi, Gremnik, Këpuz, Zllakuqan, Gjurgjevik i Madh, Budisalc, Ujmirë, Drenoc, Volljak, Grabanicë, Jagodë, Shtupel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80,000.00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3498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3422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6920</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49.45</w:t>
            </w:r>
          </w:p>
        </w:tc>
      </w:tr>
      <w:tr>
        <w:trPr>
          <w:trHeight w:val="56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Ndriqimi i hapësirave të jashtme në shkollën Ismet Rraci, Motrat Qiriazi, Gjimnazin Luigj Gurakuqi, Zllakuqan, Çerdhja e fëmijëve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3498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3422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6920</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49.45</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42</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fushave sportive dhe parkingjeve në shkolla në Grabanicë, Siqevë, Zllakuqan, Leskoc, Sferkë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70,000.00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3498</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3422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6920</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49.45</w:t>
            </w:r>
          </w:p>
        </w:tc>
      </w:tr>
      <w:tr>
        <w:trPr>
          <w:trHeight w:val="349"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Arsimi</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170,000.00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13,992.00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13,688.00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27680</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49.45</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43</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paisje mejksore per diagnostike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15029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15474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30503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44</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objekteve shendetesore: QKMF, AMF Drenoc, Ujmire, Zllakuqan dhe Gllareve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1251</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1295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2546</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50.86</w:t>
            </w:r>
          </w:p>
        </w:tc>
      </w:tr>
      <w:tr>
        <w:trPr>
          <w:trHeight w:val="360"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Shendetësia</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60,000.00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16,280.00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16,769.00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33,049.00 </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50.74</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45</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i shtepise se pleqeve ne Kline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1742</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1890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3632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52.04</w:t>
            </w:r>
          </w:p>
        </w:tc>
      </w:tr>
      <w:tr>
        <w:trPr>
          <w:trHeight w:val="349"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Sherbimet Rezidenciale</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1,742.00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1,890.00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3,632.00</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52.04</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46</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Objektit Komunal ne Kline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15029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15474</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30503</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50.73</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47</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Blerja e veturave zyrtare per nevoja te Administrates Komunale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35,000.00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563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519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1082</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47.97</w:t>
            </w:r>
          </w:p>
        </w:tc>
      </w:tr>
      <w:tr>
        <w:trPr>
          <w:trHeight w:val="360"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Administrata</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115,000.00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15,592.00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15,993.00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31,585.00</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50.63</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48</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Ndertimi dhe Rindertimi i Objekteve Sportive te Kultures ne Kline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30,000.00</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5469</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5367</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10836</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49.53</w:t>
            </w:r>
          </w:p>
        </w:tc>
      </w:tr>
      <w:tr>
        <w:trPr>
          <w:trHeight w:val="306"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Kultura</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30,000.00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5,469.00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5,367.00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10,836.00 </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49.53</w:t>
            </w:r>
          </w:p>
        </w:tc>
      </w:tr>
      <w:tr>
        <w:trPr>
          <w:trHeight w:val="218"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49</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Furnizim me pajisje- aparat për matje gjeodezike</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0</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r>
        <w:trPr>
          <w:trHeight w:val="382"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Gjeodezia</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#DIV/0!</w:t>
            </w:r>
          </w:p>
        </w:tc>
      </w:tr>
      <w:tr>
        <w:trPr>
          <w:trHeight w:val="371" w:hRule="auto"/>
          <w:jc w:val="left"/>
        </w:trPr>
        <w:tc>
          <w:tcPr>
            <w:tcW w:w="440"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50</w:t>
            </w:r>
          </w:p>
        </w:tc>
        <w:tc>
          <w:tcPr>
            <w:tcW w:w="3899"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Ndërtimi i kanaleve te ujitjes në Rudicë-Stupë-Videjë- Zajm,Potërq-Dollovë, Volljakë-Këpuz etj</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150,000.00 </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2213</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2265</w:t>
            </w:r>
          </w:p>
        </w:tc>
        <w:tc>
          <w:tcPr>
            <w:tcW w:w="1116"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4478</w:t>
            </w:r>
          </w:p>
        </w:tc>
        <w:tc>
          <w:tcPr>
            <w:tcW w:w="1074"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50.58</w:t>
            </w:r>
          </w:p>
        </w:tc>
      </w:tr>
      <w:tr>
        <w:trPr>
          <w:trHeight w:val="360" w:hRule="auto"/>
          <w:jc w:val="left"/>
        </w:trPr>
        <w:tc>
          <w:tcPr>
            <w:tcW w:w="440" w:type="dxa"/>
            <w:tcBorders>
              <w:top w:val="single" w:color="000000" w:sz="0"/>
              <w:left w:val="single" w:color="000000" w:sz="4"/>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Bujqesia</w:t>
            </w:r>
          </w:p>
        </w:tc>
        <w:tc>
          <w:tcPr>
            <w:tcW w:w="1392"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150,000.00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2,213.00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2,265.00 </w:t>
            </w:r>
          </w:p>
        </w:tc>
        <w:tc>
          <w:tcPr>
            <w:tcW w:w="1116"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4,478.00 </w:t>
            </w:r>
          </w:p>
        </w:tc>
        <w:tc>
          <w:tcPr>
            <w:tcW w:w="1074" w:type="dxa"/>
            <w:tcBorders>
              <w:top w:val="single" w:color="000000" w:sz="0"/>
              <w:left w:val="single" w:color="000000" w:sz="0"/>
              <w:bottom w:val="single" w:color="000000" w:sz="4"/>
              <w:right w:val="single" w:color="000000" w:sz="4"/>
            </w:tcBorders>
            <w:shd w:color="000000" w:fill="ffff00"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50.58</w:t>
            </w:r>
          </w:p>
        </w:tc>
      </w:tr>
      <w:tr>
        <w:trPr>
          <w:trHeight w:val="513" w:hRule="auto"/>
          <w:jc w:val="left"/>
        </w:trPr>
        <w:tc>
          <w:tcPr>
            <w:tcW w:w="440" w:type="dxa"/>
            <w:tcBorders>
              <w:top w:val="single" w:color="000000" w:sz="0"/>
              <w:left w:val="single" w:color="000000" w:sz="4"/>
              <w:bottom w:val="single" w:color="000000" w:sz="4"/>
              <w:right w:val="single" w:color="000000" w:sz="4"/>
            </w:tcBorders>
            <w:shd w:color="000000" w:fill="f2dcdb"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p>
        </w:tc>
        <w:tc>
          <w:tcPr>
            <w:tcW w:w="3899"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Totali :</w:t>
            </w:r>
          </w:p>
        </w:tc>
        <w:tc>
          <w:tcPr>
            <w:tcW w:w="1392"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4,201,798.00 </w:t>
            </w:r>
          </w:p>
        </w:tc>
        <w:tc>
          <w:tcPr>
            <w:tcW w:w="1116"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166,601.00 </w:t>
            </w:r>
          </w:p>
        </w:tc>
        <w:tc>
          <w:tcPr>
            <w:tcW w:w="1116"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171,091.00 </w:t>
            </w:r>
          </w:p>
        </w:tc>
        <w:tc>
          <w:tcPr>
            <w:tcW w:w="1116"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337,692.00 </w:t>
            </w:r>
          </w:p>
        </w:tc>
        <w:tc>
          <w:tcPr>
            <w:tcW w:w="1074"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50.66</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10526"/>
      </w:tblGrid>
      <w:tr>
        <w:trPr>
          <w:trHeight w:val="321" w:hRule="auto"/>
          <w:jc w:val="left"/>
        </w:trPr>
        <w:tc>
          <w:tcPr>
            <w:tcW w:w="1052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0" w:line="240"/>
              <w:ind w:right="0" w:left="0"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Tabela 11.Paga dhe meditje sipas bazës gjinore</w:t>
            </w:r>
          </w:p>
          <w:tbl>
            <w:tblPr/>
            <w:tblGrid>
              <w:gridCol w:w="2405"/>
              <w:gridCol w:w="720"/>
              <w:gridCol w:w="720"/>
              <w:gridCol w:w="905"/>
              <w:gridCol w:w="1117"/>
              <w:gridCol w:w="1488"/>
              <w:gridCol w:w="1392"/>
              <w:gridCol w:w="1392"/>
            </w:tblGrid>
            <w:tr>
              <w:trPr>
                <w:trHeight w:val="307" w:hRule="auto"/>
                <w:jc w:val="left"/>
              </w:trPr>
              <w:tc>
                <w:tcPr>
                  <w:tcW w:w="2405" w:type="dxa"/>
                  <w:vMerge w:val="restart"/>
                  <w:tcBorders>
                    <w:top w:val="single" w:color="000000" w:sz="8"/>
                    <w:left w:val="single" w:color="000000" w:sz="8"/>
                    <w:bottom w:val="single" w:color="000000" w:sz="0"/>
                    <w:right w:val="single" w:color="000000" w:sz="0"/>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Programet </w:t>
                  </w:r>
                </w:p>
              </w:tc>
              <w:tc>
                <w:tcPr>
                  <w:tcW w:w="720" w:type="dxa"/>
                  <w:vMerge w:val="restart"/>
                  <w:tcBorders>
                    <w:top w:val="single" w:color="000000" w:sz="4"/>
                    <w:left w:val="single" w:color="000000" w:sz="4"/>
                    <w:bottom w:val="single" w:color="000000" w:sz="4"/>
                    <w:right w:val="single" w:color="000000" w:sz="4"/>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M</w:t>
                  </w:r>
                </w:p>
              </w:tc>
              <w:tc>
                <w:tcPr>
                  <w:tcW w:w="720" w:type="dxa"/>
                  <w:vMerge w:val="restart"/>
                  <w:tcBorders>
                    <w:top w:val="single" w:color="000000" w:sz="4"/>
                    <w:left w:val="single" w:color="000000" w:sz="4"/>
                    <w:bottom w:val="single" w:color="000000" w:sz="4"/>
                    <w:right w:val="single" w:color="000000" w:sz="4"/>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F</w:t>
                  </w:r>
                </w:p>
              </w:tc>
              <w:tc>
                <w:tcPr>
                  <w:tcW w:w="905" w:type="dxa"/>
                  <w:vMerge w:val="restart"/>
                  <w:tcBorders>
                    <w:top w:val="single" w:color="000000" w:sz="4"/>
                    <w:left w:val="single" w:color="000000" w:sz="4"/>
                    <w:bottom w:val="single" w:color="000000" w:sz="4"/>
                    <w:right w:val="single" w:color="000000" w:sz="4"/>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Gjithsej</w:t>
                  </w:r>
                </w:p>
              </w:tc>
              <w:tc>
                <w:tcPr>
                  <w:tcW w:w="1117" w:type="dxa"/>
                  <w:vMerge w:val="restart"/>
                  <w:tcBorders>
                    <w:top w:val="single" w:color="000000" w:sz="4"/>
                    <w:left w:val="single" w:color="000000" w:sz="4"/>
                    <w:bottom w:val="single" w:color="000000" w:sz="4"/>
                    <w:right w:val="single" w:color="000000" w:sz="4"/>
                  </w:tcBorders>
                  <w:shd w:color="000000" w:fill="f2dcdb"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 te punesuara gra</w:t>
                  </w:r>
                </w:p>
              </w:tc>
              <w:tc>
                <w:tcPr>
                  <w:tcW w:w="4272" w:type="dxa"/>
                  <w:gridSpan w:val="3"/>
                  <w:tcBorders>
                    <w:top w:val="single" w:color="000000" w:sz="4"/>
                    <w:left w:val="single" w:color="000000" w:sz="0"/>
                    <w:bottom w:val="single" w:color="000000" w:sz="4"/>
                    <w:right w:val="single" w:color="000000" w:sz="4"/>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2027</w:t>
                  </w:r>
                </w:p>
              </w:tc>
            </w:tr>
            <w:tr>
              <w:trPr>
                <w:trHeight w:val="543" w:hRule="auto"/>
                <w:jc w:val="left"/>
              </w:trPr>
              <w:tc>
                <w:tcPr>
                  <w:tcW w:w="2405" w:type="dxa"/>
                  <w:vMerge/>
                  <w:tcBorders>
                    <w:top w:val="single" w:color="000000" w:sz="8"/>
                    <w:left w:val="single" w:color="000000" w:sz="8"/>
                    <w:bottom w:val="single" w:color="000000" w:sz="0"/>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2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2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0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1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88" w:type="dxa"/>
                  <w:tcBorders>
                    <w:top w:val="single" w:color="000000" w:sz="0"/>
                    <w:left w:val="single" w:color="000000" w:sz="0"/>
                    <w:bottom w:val="single" w:color="000000" w:sz="0"/>
                    <w:right w:val="single" w:color="000000" w:sz="8"/>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Pagat meshkuj</w:t>
                  </w:r>
                </w:p>
              </w:tc>
              <w:tc>
                <w:tcPr>
                  <w:tcW w:w="1392" w:type="dxa"/>
                  <w:tcBorders>
                    <w:top w:val="single" w:color="000000" w:sz="0"/>
                    <w:left w:val="single" w:color="000000" w:sz="0"/>
                    <w:bottom w:val="single" w:color="000000" w:sz="0"/>
                    <w:right w:val="single" w:color="000000" w:sz="8"/>
                  </w:tcBorders>
                  <w:shd w:color="000000" w:fill="d9d9d9"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Pagat femrat</w:t>
                  </w:r>
                </w:p>
              </w:tc>
              <w:tc>
                <w:tcPr>
                  <w:tcW w:w="1392" w:type="dxa"/>
                  <w:tcBorders>
                    <w:top w:val="single" w:color="000000" w:sz="0"/>
                    <w:left w:val="single" w:color="000000" w:sz="0"/>
                    <w:bottom w:val="single" w:color="000000" w:sz="0"/>
                    <w:right w:val="single" w:color="000000" w:sz="8"/>
                  </w:tcBorders>
                  <w:shd w:color="000000" w:fill="d9d9d9"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Total Paga/Mëditje </w:t>
                  </w:r>
                </w:p>
              </w:tc>
            </w:tr>
            <w:tr>
              <w:trPr>
                <w:trHeight w:val="295" w:hRule="auto"/>
                <w:jc w:val="left"/>
              </w:trPr>
              <w:tc>
                <w:tcPr>
                  <w:tcW w:w="240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Zyra e Kryetarit</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16</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21</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23.81</w:t>
                  </w:r>
                </w:p>
              </w:tc>
              <w:tc>
                <w:tcPr>
                  <w:tcW w:w="1488"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178,771.92 </w:t>
                  </w:r>
                </w:p>
              </w:tc>
              <w:tc>
                <w:tcPr>
                  <w:tcW w:w="139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67,185.07 </w:t>
                  </w:r>
                </w:p>
              </w:tc>
              <w:tc>
                <w:tcPr>
                  <w:tcW w:w="1392" w:type="dxa"/>
                  <w:tcBorders>
                    <w:top w:val="single" w:color="000000" w:sz="4"/>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245,957.00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Zyra e Kuvendit Komunal</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16</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27</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40.74</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186,210.96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124,207.71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310,418.67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Administrata dhe Personeli</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26</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12</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38</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31.58</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223,827.14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113,403.92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337,231.07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Çështjet gjinore</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100.00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10,657.13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10,657.13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Inspektimet</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7</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7</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82,398.71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82,398.71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Buxheti dhe financat</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22</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109,106.42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107,605.20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216,711.63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Infrastruktura Publike</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33,542.89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33,542.89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Zjarrfikësit dhe Inspektimet</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15</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15</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169,429.81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169,429.81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Zyra Komunale për Komunitete</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25.00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27,933.16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12,450.00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40,383.16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Bujqësi, Pylltari dhe Zhvillim Rural</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52,851.43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52,851.43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Kadastra dhe Gjeodezia </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9</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44.44</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53,907.60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37,147.23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91,054.83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Planifikimi urban dhe mjedisi</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50.00</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38,766.96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31,069.50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69,836.46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Shëndetësia</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62</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85</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147</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57.82</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685,640.12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846,973.68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1,532,613.80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Shërbimet sociale</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8</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11</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27.27</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71,362.36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37,585.12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108,947.48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Shërbimet rrezidenciale</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7</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13</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46.15</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73,696.38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55,221.00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128,917.38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Kultura, rinia dhe sporti</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9</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13</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30.77</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94,041.96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33,223.49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127,265.45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Arsimi dhe shkenca</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312</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335</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647</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51.78</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3,052,501.56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3,263,000.55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6,315,502.11 </w:t>
                  </w:r>
                </w:p>
              </w:tc>
            </w:tr>
            <w:tr>
              <w:trPr>
                <w:trHeight w:val="295" w:hRule="auto"/>
                <w:jc w:val="left"/>
              </w:trPr>
              <w:tc>
                <w:tcPr>
                  <w:tcW w:w="2405" w:type="dxa"/>
                  <w:tcBorders>
                    <w:top w:val="single" w:color="000000" w:sz="0"/>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TOTALI</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508</w:t>
                  </w:r>
                </w:p>
              </w:tc>
              <w:tc>
                <w:tcPr>
                  <w:tcW w:w="720" w:type="dxa"/>
                  <w:tcBorders>
                    <w:top w:val="single" w:color="000000" w:sz="0"/>
                    <w:left w:val="single" w:color="000000" w:sz="0"/>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481</w:t>
                  </w:r>
                </w:p>
              </w:tc>
              <w:tc>
                <w:tcPr>
                  <w:tcW w:w="905"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989</w:t>
                  </w:r>
                </w:p>
              </w:tc>
              <w:tc>
                <w:tcPr>
                  <w:tcW w:w="1117" w:type="dxa"/>
                  <w:tcBorders>
                    <w:top w:val="single" w:color="000000" w:sz="0"/>
                    <w:left w:val="single" w:color="000000" w:sz="0"/>
                    <w:bottom w:val="single" w:color="000000" w:sz="4"/>
                    <w:right w:val="single" w:color="000000" w:sz="4"/>
                  </w:tcBorders>
                  <w:shd w:color="000000" w:fill="f2dcdb" w:val="clear"/>
                  <w:tcMar>
                    <w:left w:w="108" w:type="dxa"/>
                    <w:right w:w="108" w:type="dxa"/>
                  </w:tcMar>
                  <w:vAlign w:val="bottom"/>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48.63</w:t>
                  </w:r>
                </w:p>
              </w:tc>
              <w:tc>
                <w:tcPr>
                  <w:tcW w:w="1488"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      5,133,989.38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      4,739,729.60 </w:t>
                  </w:r>
                </w:p>
              </w:tc>
              <w:tc>
                <w:tcPr>
                  <w:tcW w:w="1392" w:type="dxa"/>
                  <w:tcBorders>
                    <w:top w:val="single" w:color="000000" w:sz="0"/>
                    <w:left w:val="single" w:color="000000" w:sz="0"/>
                    <w:bottom w:val="single" w:color="000000" w:sz="4"/>
                    <w:right w:val="single" w:color="000000" w:sz="4"/>
                  </w:tcBorders>
                  <w:shd w:color="auto" w:fill="auto" w:val="clear"/>
                  <w:tcMar>
                    <w:left w:w="108" w:type="dxa"/>
                    <w:right w:w="108"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   9,873,719.00 </w:t>
                  </w:r>
                </w:p>
              </w:tc>
            </w:tr>
          </w:tbl>
          <w:p>
            <w:pPr>
              <w:spacing w:before="0" w:after="0" w:line="240"/>
              <w:ind w:right="0" w:left="0" w:firstLine="0"/>
              <w:jc w:val="left"/>
              <w:rPr>
                <w:spacing w:val="0"/>
                <w:position w:val="0"/>
                <w:shd w:fill="auto" w:val="clear"/>
              </w:rPr>
            </w:pPr>
          </w:p>
        </w:tc>
      </w:tr>
    </w:tbl>
    <w:p>
      <w:pPr>
        <w:spacing w:before="0" w:after="0" w:line="240"/>
        <w:ind w:right="0" w:left="0" w:firstLine="0"/>
        <w:jc w:val="center"/>
        <w:rPr>
          <w:rFonts w:ascii="Times New Roman" w:hAnsi="Times New Roman" w:cs="Times New Roman" w:eastAsia="Times New Roman"/>
          <w:b/>
          <w:color w:val="auto"/>
          <w:spacing w:val="0"/>
          <w:position w:val="0"/>
          <w:sz w:val="24"/>
          <w:shd w:fill="FFFF00" w:val="clear"/>
        </w:rPr>
      </w:pPr>
      <w:r>
        <w:rPr>
          <w:rFonts w:ascii="Times New Roman" w:hAnsi="Times New Roman" w:cs="Times New Roman" w:eastAsia="Times New Roman"/>
          <w:b/>
          <w:color w:val="auto"/>
          <w:spacing w:val="0"/>
          <w:position w:val="0"/>
          <w:sz w:val="24"/>
          <w:shd w:fill="FFFF00" w:val="clear"/>
        </w:rPr>
        <w:br/>
      </w: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Figura 4.  Paga dhe meditje sipas bazës gjinore</w:t>
      </w: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 Korniza e Performancës së Shpenzimeve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Indikatorët/treguesit si matës të performancës  janë hartuar në konsultim dhe me kontributin e drejtorëve / drejtoreve kryesor të programeve komunale. Indikatorët apo treguesit e më poshtëm të përformancës janë hartuar karshi fushave dhe objektivave prioritare të Komunës për periudhën afatmesme 2027-2029 (të renditur në fillim të këtij dokumenti) dhe në këtë mënyrë janë dhënë vlerat matëse. Njësia matëse e treguesve është e ndryshme dhe më poshtë ka një ndërthurje të treguesve cilësorë me treguesit sasiorë.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Më poshtë do jepet ndarja e synimeve (objektivave strategjike) në objektiva dhe për secilin nga objektivat do paraqiten treguesit e performancës të cilët bëjnë të mundur që të matet realizimi i objektivit përkatës.</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Së fundi në tabelat e mëposhtme përveq synimeve strategjike, objektivave përkatëse dhe treguesve matës, janë paraqitur edhe vlerat buxhetore ose shpenzimet që janë paraparë karshi realizimit të këtyre synime. Vëreni se vlerat e përshkruara në formë tabelare përfshijnë kryesisht kategorinë ekonomike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investime kapitale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ndon</w:t>
      </w:r>
      <w:r>
        <w:rPr>
          <w:rFonts w:ascii="Times New Roman" w:hAnsi="Times New Roman" w:cs="Times New Roman" w:eastAsia="Times New Roman"/>
          <w:color w:val="000000"/>
          <w:spacing w:val="0"/>
          <w:position w:val="0"/>
          <w:sz w:val="24"/>
          <w:shd w:fill="auto" w:val="clear"/>
        </w:rPr>
        <w:t xml:space="preserve">ëse komuna planifikon edhe shpenzime në katër kategoritë tjera ekonomike që lidhen me këto synime. Përfshierja edhe e kësaj pjese buxhetore (perveq buxhetit kapital) do të provohet të bëhet në ciklet e tjera buxhetore si fazë e dytë e avancimit tutje të matësve të performancës në buxhetin afatmesëm komunal.</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 Informacionet sipas programeve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Zyra e Kryetarit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212121"/>
          <w:spacing w:val="0"/>
          <w:position w:val="0"/>
          <w:sz w:val="22"/>
          <w:shd w:fill="FFFFFF" w:val="clear"/>
        </w:rPr>
      </w:pPr>
      <w:r>
        <w:rPr>
          <w:rFonts w:ascii="Calibri" w:hAnsi="Calibri" w:cs="Calibri" w:eastAsia="Calibri"/>
          <w:b/>
          <w:color w:val="212121"/>
          <w:spacing w:val="0"/>
          <w:position w:val="0"/>
          <w:sz w:val="22"/>
          <w:shd w:fill="FFFFFF" w:val="clear"/>
        </w:rPr>
        <w:t xml:space="preserve">Misioni:</w:t>
      </w:r>
      <w:r>
        <w:rPr>
          <w:rFonts w:ascii="Times New Roman" w:hAnsi="Times New Roman" w:cs="Times New Roman" w:eastAsia="Times New Roman"/>
          <w:color w:val="212121"/>
          <w:spacing w:val="0"/>
          <w:position w:val="0"/>
          <w:sz w:val="22"/>
          <w:shd w:fill="FFFFFF" w:val="clear"/>
        </w:rPr>
        <w:t xml:space="preserve"> Të ofrojë udhëheqje efektive dhe të përgjegjshme, rritja e përgjegjësisë dhe llogaridhënies, promovimin e transparencës për të arritur rezultatet që avancojnë interesin e qytetarit</w:t>
      </w:r>
      <w:r>
        <w:rPr>
          <w:rFonts w:ascii="Calibri" w:hAnsi="Calibri" w:cs="Calibri" w:eastAsia="Calibri"/>
          <w:color w:val="212121"/>
          <w:spacing w:val="0"/>
          <w:position w:val="0"/>
          <w:sz w:val="22"/>
          <w:shd w:fill="FFFFFF" w:val="clear"/>
        </w:rPr>
        <w:t xml:space="preserve">, duke bërë </w:t>
      </w:r>
      <w:r>
        <w:rPr>
          <w:rFonts w:ascii="Calibri" w:hAnsi="Calibri" w:cs="Calibri" w:eastAsia="Calibri"/>
          <w:color w:val="000000"/>
          <w:spacing w:val="0"/>
          <w:position w:val="0"/>
          <w:sz w:val="22"/>
          <w:shd w:fill="FFFFFF" w:val="clear"/>
        </w:rPr>
        <w:t xml:space="preserve">mbikëqyrjen e përgjithshme të administrimit financiar të komunës, kujdesit për ekzekutimin e vendimeve të marra nga Kuvendi i Komunës, kujdeset për zbatimin e ligjit, rregulloreve dhe Statutit të komunës.</w:t>
      </w:r>
    </w:p>
    <w:p>
      <w:pPr>
        <w:spacing w:before="0" w:after="0" w:line="240"/>
        <w:ind w:right="0" w:left="0" w:firstLine="0"/>
        <w:jc w:val="left"/>
        <w:rPr>
          <w:rFonts w:ascii="Segoe UI" w:hAnsi="Segoe UI" w:cs="Segoe UI" w:eastAsia="Segoe UI"/>
          <w:color w:val="212121"/>
          <w:spacing w:val="0"/>
          <w:position w:val="0"/>
          <w:sz w:val="23"/>
          <w:shd w:fill="FFFFFF" w:val="clear"/>
        </w:rPr>
      </w:pPr>
      <w:r>
        <w:rPr>
          <w:rFonts w:ascii="Calibri" w:hAnsi="Calibri" w:cs="Calibri" w:eastAsia="Calibri"/>
          <w:color w:val="212121"/>
          <w:spacing w:val="0"/>
          <w:position w:val="0"/>
          <w:sz w:val="22"/>
          <w:shd w:fill="FFFFFF" w:val="clear"/>
        </w:rPr>
        <w:t xml:space="preserve"> </w:t>
      </w:r>
    </w:p>
    <w:p>
      <w:pPr>
        <w:spacing w:before="0" w:after="0" w:line="240"/>
        <w:ind w:right="0" w:left="0" w:firstLine="0"/>
        <w:jc w:val="left"/>
        <w:rPr>
          <w:rFonts w:ascii="Segoe UI" w:hAnsi="Segoe UI" w:cs="Segoe UI" w:eastAsia="Segoe UI"/>
          <w:color w:val="212121"/>
          <w:spacing w:val="0"/>
          <w:position w:val="0"/>
          <w:sz w:val="23"/>
          <w:shd w:fill="FFFFFF" w:val="clear"/>
        </w:rPr>
      </w:pPr>
      <w:r>
        <w:rPr>
          <w:rFonts w:ascii="Calibri" w:hAnsi="Calibri" w:cs="Calibri" w:eastAsia="Calibri"/>
          <w:b/>
          <w:color w:val="212121"/>
          <w:spacing w:val="0"/>
          <w:position w:val="0"/>
          <w:sz w:val="22"/>
          <w:shd w:fill="FFFFFF" w:val="clear"/>
        </w:rPr>
        <w:t xml:space="preserve">Vizioni:</w:t>
      </w:r>
      <w:r>
        <w:rPr>
          <w:rFonts w:ascii="Calibri" w:hAnsi="Calibri" w:cs="Calibri" w:eastAsia="Calibri"/>
          <w:color w:val="212121"/>
          <w:spacing w:val="0"/>
          <w:position w:val="0"/>
          <w:sz w:val="22"/>
          <w:shd w:fill="FFFFFF" w:val="clear"/>
        </w:rPr>
        <w:t xml:space="preserve"> Të krijojë një komunë moderne, të zhvilluar dhe të qëndrueshme, ku qytetarët janë të angazhuar dhe të informuar. Ofrimin e shërbimeve sa më cilësore ndaj qytetarëve, zhvillim ekonomik të qëndrueshëm të komunës në përgjithësi, me urbanizëm modern dhe shërbime efikase e kualitative, me shërbime financiare të zhvilluara dhe ofrim të një kualiteti të mirë të jetesës për qytetarët e saj. Avancimi dhe i menaxhimit në pajtim me të gjitha normat ligjore, ruajtja dhe shtimi i vlerës së pasurive që posedon komuna mbesin ndër vizionet e komunës për vitet e ardhshme.</w:t>
      </w:r>
    </w:p>
    <w:p>
      <w:pPr>
        <w:spacing w:before="0" w:after="0" w:line="240"/>
        <w:ind w:right="0" w:left="0" w:firstLine="0"/>
        <w:jc w:val="left"/>
        <w:rPr>
          <w:rFonts w:ascii="Segoe UI" w:hAnsi="Segoe UI" w:cs="Segoe UI" w:eastAsia="Segoe UI"/>
          <w:color w:val="212121"/>
          <w:spacing w:val="0"/>
          <w:position w:val="0"/>
          <w:sz w:val="23"/>
          <w:shd w:fill="FFFFFF" w:val="clear"/>
        </w:rPr>
      </w:pPr>
      <w:r>
        <w:rPr>
          <w:rFonts w:ascii="Times New Roman" w:hAnsi="Times New Roman" w:cs="Times New Roman" w:eastAsia="Times New Roman"/>
          <w:color w:val="212121"/>
          <w:spacing w:val="0"/>
          <w:position w:val="0"/>
          <w:sz w:val="22"/>
          <w:shd w:fill="FFFFFF" w:val="clear"/>
        </w:rPr>
        <w:t xml:space="preserve"> </w:t>
      </w:r>
    </w:p>
    <w:p>
      <w:pPr>
        <w:spacing w:before="0" w:after="0" w:line="240"/>
        <w:ind w:right="0" w:left="0" w:firstLine="0"/>
        <w:jc w:val="left"/>
        <w:rPr>
          <w:rFonts w:ascii="Segoe UI" w:hAnsi="Segoe UI" w:cs="Segoe UI" w:eastAsia="Segoe UI"/>
          <w:color w:val="212121"/>
          <w:spacing w:val="0"/>
          <w:position w:val="0"/>
          <w:sz w:val="23"/>
          <w:shd w:fill="FFFFFF" w:val="clear"/>
        </w:rPr>
      </w:pPr>
      <w:r>
        <w:rPr>
          <w:rFonts w:ascii="Times New Roman" w:hAnsi="Times New Roman" w:cs="Times New Roman" w:eastAsia="Times New Roman"/>
          <w:b/>
          <w:color w:val="212121"/>
          <w:spacing w:val="0"/>
          <w:position w:val="0"/>
          <w:sz w:val="22"/>
          <w:shd w:fill="FFFFFF" w:val="clear"/>
        </w:rPr>
        <w:t xml:space="preserve"> </w:t>
      </w:r>
    </w:p>
    <w:p>
      <w:pPr>
        <w:spacing w:before="0" w:after="0" w:line="240"/>
        <w:ind w:right="0" w:left="0" w:firstLine="0"/>
        <w:jc w:val="left"/>
        <w:rPr>
          <w:rFonts w:ascii="Times New Roman" w:hAnsi="Times New Roman" w:cs="Times New Roman" w:eastAsia="Times New Roman"/>
          <w:b/>
          <w:color w:val="212121"/>
          <w:spacing w:val="0"/>
          <w:position w:val="0"/>
          <w:sz w:val="22"/>
          <w:shd w:fill="FFFFFF" w:val="clear"/>
        </w:rPr>
      </w:pPr>
      <w:r>
        <w:rPr>
          <w:rFonts w:ascii="Times New Roman" w:hAnsi="Times New Roman" w:cs="Times New Roman" w:eastAsia="Times New Roman"/>
          <w:b/>
          <w:color w:val="212121"/>
          <w:spacing w:val="0"/>
          <w:position w:val="0"/>
          <w:sz w:val="22"/>
          <w:shd w:fill="FFFFFF" w:val="clear"/>
        </w:rPr>
        <w:t xml:space="preserve">Qëllimi: </w:t>
      </w:r>
      <w:r>
        <w:rPr>
          <w:rFonts w:ascii="Times New Roman" w:hAnsi="Times New Roman" w:cs="Times New Roman" w:eastAsia="Times New Roman"/>
          <w:color w:val="212121"/>
          <w:spacing w:val="0"/>
          <w:position w:val="0"/>
          <w:sz w:val="22"/>
          <w:shd w:fill="FFFFFF" w:val="clear"/>
        </w:rPr>
        <w:t xml:space="preserve">T</w:t>
      </w:r>
      <w:r>
        <w:rPr>
          <w:rFonts w:ascii="Calibri" w:hAnsi="Calibri" w:cs="Calibri" w:eastAsia="Calibri"/>
          <w:color w:val="212121"/>
          <w:spacing w:val="0"/>
          <w:position w:val="0"/>
          <w:sz w:val="22"/>
          <w:shd w:fill="FFFFFF" w:val="clear"/>
        </w:rPr>
        <w:t xml:space="preserve">ë sigurojë një administratë komunale që funksionon në mënyrë të efektshme dhe të përgjegjshme, duke u fokusuar në zhvillimin ekonomik, përmirësimin e shërbimeve publike dhe forcimin e demokracisë lokale përmes transparencës dhe pjesëmarrjes qytetare. Ngritja e nivelit të mirëqenies sociale dhe krijimi i kushteve sa më të mira për jetesë, punë dhe zhvillim.</w:t>
      </w:r>
    </w:p>
    <w:p>
      <w:pPr>
        <w:spacing w:before="0" w:after="0" w:line="240"/>
        <w:ind w:right="0" w:left="0" w:firstLine="0"/>
        <w:jc w:val="left"/>
        <w:rPr>
          <w:rFonts w:ascii="Calibri" w:hAnsi="Calibri" w:cs="Calibri" w:eastAsia="Calibri"/>
          <w:color w:val="212121"/>
          <w:spacing w:val="0"/>
          <w:position w:val="0"/>
          <w:sz w:val="22"/>
          <w:shd w:fill="FFFFFF" w:val="clear"/>
        </w:rPr>
      </w:pPr>
    </w:p>
    <w:p>
      <w:pPr>
        <w:spacing w:before="0" w:after="0" w:line="240"/>
        <w:ind w:right="0" w:left="0" w:firstLine="0"/>
        <w:jc w:val="left"/>
        <w:rPr>
          <w:rFonts w:ascii="Segoe UI" w:hAnsi="Segoe UI" w:cs="Segoe UI" w:eastAsia="Segoe UI"/>
          <w:b/>
          <w:color w:val="212121"/>
          <w:spacing w:val="0"/>
          <w:position w:val="0"/>
          <w:sz w:val="23"/>
          <w:shd w:fill="FFFFFF" w:val="clear"/>
        </w:rPr>
      </w:pPr>
      <w:r>
        <w:rPr>
          <w:rFonts w:ascii="Segoe UI" w:hAnsi="Segoe UI" w:cs="Segoe UI" w:eastAsia="Segoe UI"/>
          <w:b/>
          <w:color w:val="212121"/>
          <w:spacing w:val="0"/>
          <w:position w:val="0"/>
          <w:sz w:val="23"/>
          <w:shd w:fill="FFFFFF" w:val="clear"/>
        </w:rPr>
        <w:t xml:space="preserve">Objektivat:</w:t>
      </w:r>
    </w:p>
    <w:p>
      <w:pPr>
        <w:numPr>
          <w:ilvl w:val="0"/>
          <w:numId w:val="1690"/>
        </w:numPr>
        <w:tabs>
          <w:tab w:val="left" w:pos="720" w:leader="none"/>
        </w:tabs>
        <w:spacing w:before="0" w:after="0" w:line="240"/>
        <w:ind w:right="0" w:left="720" w:hanging="360"/>
        <w:jc w:val="left"/>
        <w:rPr>
          <w:rFonts w:ascii="Segoe UI" w:hAnsi="Segoe UI" w:cs="Segoe UI" w:eastAsia="Segoe UI"/>
          <w:color w:val="212121"/>
          <w:spacing w:val="0"/>
          <w:position w:val="0"/>
          <w:sz w:val="23"/>
          <w:shd w:fill="FFFFFF" w:val="clear"/>
        </w:rPr>
      </w:pPr>
      <w:r>
        <w:rPr>
          <w:rFonts w:ascii="Segoe UI" w:hAnsi="Segoe UI" w:cs="Segoe UI" w:eastAsia="Segoe UI"/>
          <w:b/>
          <w:color w:val="212121"/>
          <w:spacing w:val="0"/>
          <w:position w:val="0"/>
          <w:sz w:val="23"/>
          <w:shd w:fill="FFFFFF" w:val="clear"/>
        </w:rPr>
        <w:t xml:space="preserve">Zhvillimi Ekonomik dhe Infrastruktural</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Implementimi i projekteve zhvillimore që kontribuojnë në rritjen ekonomike dhe përmirësimin e infrastrukturës.</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Krijimi i mundësive për investime dhe zhvillimin e sektorëve të ndryshëm ekonomikë.</w:t>
      </w:r>
    </w:p>
    <w:p>
      <w:pPr>
        <w:numPr>
          <w:ilvl w:val="0"/>
          <w:numId w:val="1690"/>
        </w:numPr>
        <w:tabs>
          <w:tab w:val="left" w:pos="720" w:leader="none"/>
        </w:tabs>
        <w:spacing w:before="0" w:after="0" w:line="240"/>
        <w:ind w:right="0" w:left="720" w:hanging="360"/>
        <w:jc w:val="left"/>
        <w:rPr>
          <w:rFonts w:ascii="Segoe UI" w:hAnsi="Segoe UI" w:cs="Segoe UI" w:eastAsia="Segoe UI"/>
          <w:color w:val="212121"/>
          <w:spacing w:val="0"/>
          <w:position w:val="0"/>
          <w:sz w:val="23"/>
          <w:shd w:fill="FFFFFF" w:val="clear"/>
        </w:rPr>
      </w:pPr>
      <w:r>
        <w:rPr>
          <w:rFonts w:ascii="Segoe UI" w:hAnsi="Segoe UI" w:cs="Segoe UI" w:eastAsia="Segoe UI"/>
          <w:b/>
          <w:color w:val="212121"/>
          <w:spacing w:val="0"/>
          <w:position w:val="0"/>
          <w:sz w:val="23"/>
          <w:shd w:fill="FFFFFF" w:val="clear"/>
        </w:rPr>
        <w:t xml:space="preserve">Përmirësimi i Shërbimeve Publike</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Ofrimi i shërbimeve publike të cilësisë së lartë për qytetarët.</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Sigurimi i aksesit të barabartë në shërbime për të gjithë qytetarët.</w:t>
      </w:r>
    </w:p>
    <w:p>
      <w:pPr>
        <w:numPr>
          <w:ilvl w:val="0"/>
          <w:numId w:val="1690"/>
        </w:numPr>
        <w:tabs>
          <w:tab w:val="left" w:pos="720" w:leader="none"/>
        </w:tabs>
        <w:spacing w:before="0" w:after="0" w:line="240"/>
        <w:ind w:right="0" w:left="720" w:hanging="360"/>
        <w:jc w:val="left"/>
        <w:rPr>
          <w:rFonts w:ascii="Segoe UI" w:hAnsi="Segoe UI" w:cs="Segoe UI" w:eastAsia="Segoe UI"/>
          <w:color w:val="212121"/>
          <w:spacing w:val="0"/>
          <w:position w:val="0"/>
          <w:sz w:val="23"/>
          <w:shd w:fill="FFFFFF" w:val="clear"/>
        </w:rPr>
      </w:pPr>
      <w:r>
        <w:rPr>
          <w:rFonts w:ascii="Segoe UI" w:hAnsi="Segoe UI" w:cs="Segoe UI" w:eastAsia="Segoe UI"/>
          <w:b/>
          <w:color w:val="212121"/>
          <w:spacing w:val="0"/>
          <w:position w:val="0"/>
          <w:sz w:val="23"/>
          <w:shd w:fill="FFFFFF" w:val="clear"/>
        </w:rPr>
        <w:t xml:space="preserve">Forcimi i Demokracisë Lokale dhe Pjesëmarrjes Qytetare</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Promovimi i transparencës dhe llogaridhënies në administratën komunale.</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Angazhimi i qytetarëve në proceset vendimmarrëse dhe konsultative. </w:t>
      </w:r>
    </w:p>
    <w:p>
      <w:pPr>
        <w:numPr>
          <w:ilvl w:val="0"/>
          <w:numId w:val="1690"/>
        </w:numPr>
        <w:tabs>
          <w:tab w:val="left" w:pos="720" w:leader="none"/>
        </w:tabs>
        <w:spacing w:before="0" w:after="0" w:line="240"/>
        <w:ind w:right="0" w:left="720" w:hanging="360"/>
        <w:jc w:val="left"/>
        <w:rPr>
          <w:rFonts w:ascii="Segoe UI" w:hAnsi="Segoe UI" w:cs="Segoe UI" w:eastAsia="Segoe UI"/>
          <w:color w:val="212121"/>
          <w:spacing w:val="0"/>
          <w:position w:val="0"/>
          <w:sz w:val="23"/>
          <w:shd w:fill="FFFFFF" w:val="clear"/>
        </w:rPr>
      </w:pPr>
      <w:r>
        <w:rPr>
          <w:rFonts w:ascii="Segoe UI" w:hAnsi="Segoe UI" w:cs="Segoe UI" w:eastAsia="Segoe UI"/>
          <w:b/>
          <w:color w:val="212121"/>
          <w:spacing w:val="0"/>
          <w:position w:val="0"/>
          <w:sz w:val="23"/>
          <w:shd w:fill="FFFFFF" w:val="clear"/>
        </w:rPr>
        <w:t xml:space="preserve">Zhvillimi i Kapaciteteve të Administratës Komunale</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Trajnimi dhe zhvillimi profesional i stafit të administratës komunale.</w:t>
      </w:r>
    </w:p>
    <w:p>
      <w:pPr>
        <w:numPr>
          <w:ilvl w:val="0"/>
          <w:numId w:val="1690"/>
        </w:numPr>
        <w:tabs>
          <w:tab w:val="left" w:pos="1440" w:leader="none"/>
        </w:tabs>
        <w:spacing w:before="0" w:after="0" w:line="240"/>
        <w:ind w:right="0" w:left="1440" w:hanging="360"/>
        <w:jc w:val="left"/>
        <w:rPr>
          <w:rFonts w:ascii="Segoe UI" w:hAnsi="Segoe UI" w:cs="Segoe UI" w:eastAsia="Segoe UI"/>
          <w:color w:val="212121"/>
          <w:spacing w:val="0"/>
          <w:position w:val="0"/>
          <w:sz w:val="23"/>
          <w:shd w:fill="FFFFFF" w:val="clear"/>
        </w:rPr>
      </w:pPr>
      <w:r>
        <w:rPr>
          <w:rFonts w:ascii="Segoe UI" w:hAnsi="Segoe UI" w:cs="Segoe UI" w:eastAsia="Segoe UI"/>
          <w:color w:val="212121"/>
          <w:spacing w:val="0"/>
          <w:position w:val="0"/>
          <w:sz w:val="23"/>
          <w:shd w:fill="FFFFFF" w:val="clear"/>
        </w:rPr>
        <w:t xml:space="preserve">Përmirësimi i proceseve administrative për të rritur efikasitetin dhe efektivitetin.</w:t>
      </w:r>
    </w:p>
    <w:p>
      <w:pPr>
        <w:spacing w:before="0" w:after="0" w:line="240"/>
        <w:ind w:right="0" w:left="0" w:firstLine="0"/>
        <w:jc w:val="left"/>
        <w:rPr>
          <w:rFonts w:ascii="Segoe UI" w:hAnsi="Segoe UI" w:cs="Segoe UI" w:eastAsia="Segoe UI"/>
          <w:color w:val="212121"/>
          <w:spacing w:val="0"/>
          <w:position w:val="0"/>
          <w:sz w:val="23"/>
          <w:shd w:fill="FFFFFF"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Synimet:</w:t>
      </w:r>
    </w:p>
    <w:p>
      <w:pPr>
        <w:numPr>
          <w:ilvl w:val="0"/>
          <w:numId w:val="1699"/>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Udhëheqje efektive dhe transparente: Të sigurohet një administratë komunale që funksionon në mënyrë të efektshme dhe të përgjegjshme, duke promovuar transparencën dhe llogaridhënien në të gjitha nivelet e administratës.</w:t>
      </w:r>
    </w:p>
    <w:p>
      <w:pPr>
        <w:numPr>
          <w:ilvl w:val="0"/>
          <w:numId w:val="1699"/>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Përmirësimi i shërbimeve publike: Të ofrohen shërbime publike të cilësisë së lartë për qytetarët, duke siguruar akses të barabartë dhe të drejtë për të gjithë.</w:t>
      </w:r>
    </w:p>
    <w:p>
      <w:pPr>
        <w:numPr>
          <w:ilvl w:val="0"/>
          <w:numId w:val="1699"/>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Zhvillimi ekonomik dhe social: Të krijohen mundësi për zhvillim ekonomik dhe përmirësim të kushteve sociale për të gjithë qytetarët, duke inkurajuar investimet dhe zhvillimin e qëndrueshëm.</w:t>
      </w:r>
    </w:p>
    <w:p>
      <w:pPr>
        <w:numPr>
          <w:ilvl w:val="0"/>
          <w:numId w:val="1699"/>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Angazhimi qytetar dhe pjesëmarrje: Të inkurajohet pjesëmarrja aktive e qytetarëve në proceset vendimmarrëse dhe të sigurohet një komunikim i hapur dhe i ndershëm me komunitetin.</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tbl>
      <w:tblPr>
        <w:tblInd w:w="250" w:type="dxa"/>
      </w:tblPr>
      <w:tblGrid>
        <w:gridCol w:w="4138"/>
        <w:gridCol w:w="1523"/>
        <w:gridCol w:w="1523"/>
        <w:gridCol w:w="1582"/>
      </w:tblGrid>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60" w:line="278"/>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Koha e përgjigjes ndaj kërkesave të qytetarëve</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30 dite</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30 dite</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30 dite</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60" w:line="278"/>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Numri i takimeve të organizuara me qytetarët dhe grupe të interesit</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75</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80</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85</w:t>
            </w:r>
          </w:p>
        </w:tc>
      </w:tr>
      <w:tr>
        <w:trPr>
          <w:trHeight w:val="611"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Përqindja e vendimeve të Kuvendit të Komunës që janë zbatuar në kohë </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98</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98.2</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98.5</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Zyra e Kuvendit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 </w:t>
      </w:r>
      <w:r>
        <w:rPr>
          <w:rFonts w:ascii="Times New Roman" w:hAnsi="Times New Roman" w:cs="Times New Roman" w:eastAsia="Times New Roman"/>
          <w:color w:val="auto"/>
          <w:spacing w:val="0"/>
          <w:position w:val="0"/>
          <w:sz w:val="24"/>
          <w:shd w:fill="auto" w:val="clear"/>
        </w:rPr>
        <w:t xml:space="preserve">Të mbështesë Kuvendin Komunal në ushtrimin e funksioneve të tij legjislative dhe mbikëqyrëse, duke siguruar përgatitjen e dokumenteve të nevojshme, organizimin e seancave dhe komunikimin efektiv me qytetarët dhe institucionet. Për t’i shërbyer qytetarët e komunës, duke siguruar miratimin e duhur të propozimeve nga dega e ekzekutivit në përputhje me detyrimet ligjore.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78"/>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 </w:t>
      </w:r>
      <w:r>
        <w:rPr>
          <w:rFonts w:ascii="Times New Roman" w:hAnsi="Times New Roman" w:cs="Times New Roman" w:eastAsia="Times New Roman"/>
          <w:color w:val="auto"/>
          <w:spacing w:val="0"/>
          <w:position w:val="0"/>
          <w:sz w:val="24"/>
          <w:shd w:fill="auto" w:val="clear"/>
        </w:rPr>
        <w:t xml:space="preserve">Të jetë një zyrë e fuqishme dhe e besueshme, që promovon transparencën, pjesëmarrjen qytetare dhe zhvillimin e politikave të qëndrueshme për komunën. Për të siguruar shqyrtimin në kohë dhe Miratimin e politikave dhe rregulloreve komunale dhe planeve statutore, duke përfshirë buxhetin, në një mënyrë e cila i lejon ekzekutivit dhe stafit të komunës për të kryer detyrën e tyre në mënyrë efikase dhe efektive.Për të siguruar politikë të përshtatshme dhe plane brenda fushë veprimit të kompetencave të komunës, duke i respektuar të gjitha ligjet, në një mënyrë që përfitimet e qytetarëve të jenë të mëdha.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Qëllimet:</w:t>
      </w:r>
    </w:p>
    <w:p>
      <w:pPr>
        <w:numPr>
          <w:ilvl w:val="0"/>
          <w:numId w:val="171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Sigurimi i mbështetjes administrative dhe logjistike për Kuvendin dhe deputetët</w:t>
      </w:r>
      <w:r>
        <w:rPr>
          <w:rFonts w:ascii="Times New Roman" w:hAnsi="Times New Roman" w:cs="Times New Roman" w:eastAsia="Times New Roman"/>
          <w:color w:val="auto"/>
          <w:spacing w:val="0"/>
          <w:position w:val="0"/>
          <w:sz w:val="24"/>
          <w:shd w:fill="auto" w:val="clear"/>
        </w:rPr>
        <w:t xml:space="preserve">: Ofrimi i shërbimeve të nevojshme për funksionimin e Kuvendit dhe për realizimin e detyrave të deputetëve.</w:t>
      </w:r>
    </w:p>
    <w:p>
      <w:pPr>
        <w:numPr>
          <w:ilvl w:val="0"/>
          <w:numId w:val="171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Përmirësimi i kapaciteteve të administratës së Kuvendit</w:t>
      </w:r>
      <w:r>
        <w:rPr>
          <w:rFonts w:ascii="Times New Roman" w:hAnsi="Times New Roman" w:cs="Times New Roman" w:eastAsia="Times New Roman"/>
          <w:color w:val="auto"/>
          <w:spacing w:val="0"/>
          <w:position w:val="0"/>
          <w:sz w:val="24"/>
          <w:shd w:fill="auto" w:val="clear"/>
        </w:rPr>
        <w:t xml:space="preserve">: Zhvillimi i kapaciteteve profesionale dhe teknike të stafit të administratës për të ofruar shërbime efikase dhe efektive.</w:t>
      </w:r>
    </w:p>
    <w:p>
      <w:pPr>
        <w:numPr>
          <w:ilvl w:val="0"/>
          <w:numId w:val="171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Fuqizimi i bashkëpunimit me institucionet e tjera shtetërore dhe ndërkombëtare</w:t>
      </w:r>
      <w:r>
        <w:rPr>
          <w:rFonts w:ascii="Times New Roman" w:hAnsi="Times New Roman" w:cs="Times New Roman" w:eastAsia="Times New Roman"/>
          <w:color w:val="auto"/>
          <w:spacing w:val="0"/>
          <w:position w:val="0"/>
          <w:sz w:val="24"/>
          <w:shd w:fill="auto" w:val="clear"/>
        </w:rPr>
        <w:t xml:space="preserve">: Avancimi i bashkëpunimit me institucionet e tjera për të siguruar një legjislacion të cilësisë së lartë dhe për të promovuar proceset demokratike.</w:t>
      </w:r>
    </w:p>
    <w:p>
      <w:pPr>
        <w:numPr>
          <w:ilvl w:val="0"/>
          <w:numId w:val="171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Promovimi i transparencës dhe llogaridhënies</w:t>
      </w:r>
      <w:r>
        <w:rPr>
          <w:rFonts w:ascii="Times New Roman" w:hAnsi="Times New Roman" w:cs="Times New Roman" w:eastAsia="Times New Roman"/>
          <w:color w:val="auto"/>
          <w:spacing w:val="0"/>
          <w:position w:val="0"/>
          <w:sz w:val="24"/>
          <w:shd w:fill="auto" w:val="clear"/>
        </w:rPr>
        <w:t xml:space="preserve">: Sigurimi i një administrate të hapur dhe të përgjegjshme, ku qytetarët kanë mundësi të informohen dhe të angazhohen në proceset vendimmarrëse.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Objektivat:</w:t>
      </w:r>
    </w:p>
    <w:p>
      <w:pPr>
        <w:numPr>
          <w:ilvl w:val="0"/>
          <w:numId w:val="1721"/>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Sigurimi i shërbimeve të nevojshme për funksionimin e Kuvendit dhe për realizimin e detyrave të deputetëve.</w:t>
      </w:r>
    </w:p>
    <w:p>
      <w:pPr>
        <w:numPr>
          <w:ilvl w:val="0"/>
          <w:numId w:val="1721"/>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Publikimi i raporteve dhe dokumenteve të rëndësishme për të siguruar transparencën në veprimtarinë e Kuvendit.</w:t>
      </w:r>
    </w:p>
    <w:p>
      <w:pPr>
        <w:numPr>
          <w:ilvl w:val="0"/>
          <w:numId w:val="1721"/>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Shqyrtimi dhe miratimi në kohë i politikave/rregulloreve të reja</w:t>
      </w:r>
    </w:p>
    <w:p>
      <w:pPr>
        <w:numPr>
          <w:ilvl w:val="0"/>
          <w:numId w:val="1721"/>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Shqyrtimi dhe miratimi në kohë i të gjitha planeve statutore(duke përfshirë buxhetin)</w:t>
      </w:r>
    </w:p>
    <w:p>
      <w:pPr>
        <w:numPr>
          <w:ilvl w:val="0"/>
          <w:numId w:val="1721"/>
        </w:numPr>
        <w:spacing w:before="0" w:after="0" w:line="240"/>
        <w:ind w:right="0" w:left="144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Përmbushja e nevojave të qytetarëve përbrenda burimeve në dispozicion të komunës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Synimet:</w:t>
      </w:r>
    </w:p>
    <w:p>
      <w:pPr>
        <w:numPr>
          <w:ilvl w:val="0"/>
          <w:numId w:val="1723"/>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Udhëheqje efektive dhe transparente</w:t>
      </w:r>
      <w:r>
        <w:rPr>
          <w:rFonts w:ascii="Times New Roman" w:hAnsi="Times New Roman" w:cs="Times New Roman" w:eastAsia="Times New Roman"/>
          <w:color w:val="auto"/>
          <w:spacing w:val="0"/>
          <w:position w:val="0"/>
          <w:sz w:val="24"/>
          <w:shd w:fill="auto" w:val="clear"/>
        </w:rPr>
        <w:t xml:space="preserve">: Sigurimi i një administrate të Kuvendit që funksionon në mënyrë efikase dhe të përgjegjshme, duke promovuar transparencën dhe llogaridhënien në të gjitha nivelet e administratës.</w:t>
      </w:r>
    </w:p>
    <w:p>
      <w:pPr>
        <w:numPr>
          <w:ilvl w:val="0"/>
          <w:numId w:val="1723"/>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Mbështetje për Kuvendin dhe deputetët</w:t>
      </w:r>
      <w:r>
        <w:rPr>
          <w:rFonts w:ascii="Times New Roman" w:hAnsi="Times New Roman" w:cs="Times New Roman" w:eastAsia="Times New Roman"/>
          <w:color w:val="auto"/>
          <w:spacing w:val="0"/>
          <w:position w:val="0"/>
          <w:sz w:val="24"/>
          <w:shd w:fill="auto" w:val="clear"/>
        </w:rPr>
        <w:t xml:space="preserve">: Ofrimi i mbështetjes administrative dhe logjistike për Kuvendin dhe deputetët, për të mundësuar realizimin e detyrave dhe përgjegjësive të tyre.</w:t>
      </w:r>
    </w:p>
    <w:p>
      <w:pPr>
        <w:numPr>
          <w:ilvl w:val="0"/>
          <w:numId w:val="1723"/>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Zhvillimi i kapaciteteve institucionale</w:t>
      </w:r>
      <w:r>
        <w:rPr>
          <w:rFonts w:ascii="Times New Roman" w:hAnsi="Times New Roman" w:cs="Times New Roman" w:eastAsia="Times New Roman"/>
          <w:color w:val="auto"/>
          <w:spacing w:val="0"/>
          <w:position w:val="0"/>
          <w:sz w:val="24"/>
          <w:shd w:fill="auto" w:val="clear"/>
        </w:rPr>
        <w:t xml:space="preserve">: Përmirësimi i kapaciteteve të administratës së Kuvendit për të ofruar shërbime efikase dhe efektive për deputetët dhe qytetarët.</w:t>
      </w:r>
    </w:p>
    <w:p>
      <w:pPr>
        <w:numPr>
          <w:ilvl w:val="0"/>
          <w:numId w:val="1723"/>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Promovimi i bashkëpunimit ndërinstitucional</w:t>
      </w:r>
      <w:r>
        <w:rPr>
          <w:rFonts w:ascii="Times New Roman" w:hAnsi="Times New Roman" w:cs="Times New Roman" w:eastAsia="Times New Roman"/>
          <w:color w:val="auto"/>
          <w:spacing w:val="0"/>
          <w:position w:val="0"/>
          <w:sz w:val="24"/>
          <w:shd w:fill="auto" w:val="clear"/>
        </w:rPr>
        <w:t xml:space="preserve">: Fuqizimi i bashkëpunimit me institucionet e tjera shtetërore dhe ndërkombëtare për të avancuar proceset demokratike dhe për të siguruar një legjislacion të cilësisë së lartë.</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00" w:val="clear"/>
        </w:rPr>
      </w:pPr>
    </w:p>
    <w:tbl>
      <w:tblPr>
        <w:tblInd w:w="250" w:type="dxa"/>
      </w:tblPr>
      <w:tblGrid>
        <w:gridCol w:w="4138"/>
        <w:gridCol w:w="1523"/>
        <w:gridCol w:w="1523"/>
        <w:gridCol w:w="1582"/>
      </w:tblGrid>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Indikatori</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2028</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2029</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akteve legjislative të publikuara në faqen e internetit të komunës pas konfirmimit të ligjshmërisë</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60" w:line="278"/>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Përqindja e vendimeve të miratuara nga Kuvendi që janë implementuar</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97%</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97%</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78"/>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Shërbimeve Publike dhe Emergjencës</w:t>
        <w:br/>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Misioni: </w:t>
      </w:r>
      <w:r>
        <w:rPr>
          <w:rFonts w:ascii="Times New Roman" w:hAnsi="Times New Roman" w:cs="Times New Roman" w:eastAsia="Times New Roman"/>
          <w:color w:val="auto"/>
          <w:spacing w:val="0"/>
          <w:position w:val="0"/>
          <w:sz w:val="24"/>
          <w:shd w:fill="auto" w:val="clear"/>
        </w:rPr>
        <w:t xml:space="preserve">Të ofrojë shërbime publike cilësore dhe të qëndrueshme për qytetarët, duke siguruar menaxhim efikas të burimeve dhe reagim të shpejtë në situata emergjente. Një komunë e pastër dhe e sigurt për të gjithë qytetarët</w:t>
      </w:r>
    </w:p>
    <w:p>
      <w:pPr>
        <w:spacing w:before="0" w:after="160" w:line="278"/>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w:t>
      </w:r>
      <w:r>
        <w:rPr>
          <w:rFonts w:ascii="Times New Roman" w:hAnsi="Times New Roman" w:cs="Times New Roman" w:eastAsia="Times New Roman"/>
          <w:color w:val="auto"/>
          <w:spacing w:val="0"/>
          <w:position w:val="0"/>
          <w:sz w:val="24"/>
          <w:shd w:fill="auto" w:val="clear"/>
        </w:rPr>
        <w:t xml:space="preserve"> Të krijojë një mjedis të sigurt dhe të pastër për qytetarët, duke ofruar shërbime publike të cilësisë së lartë dhe duke kontribuar në zhvillimin e qëndrueshëm të komunitetit. Për të përmbushur obligime statutore të drejtorisë dhe adresimin e nevojave të qytetarëve tanë në fushën e rrjetit komunal rrugor, ujit dhe infrastrukturës së mbeturinave, hapësirave të gjelbra, shërbimeve emergjente dhe të sigurisë. Ne do të bëjmë këtë dhe arrijmë duke zbatuar mirëmbajtjen e planifikuar dhe përmirësimin e infrastrukturës së rrugëve, hapësirave publike, furnizimin me ujë dhe menaxhimin e ujërave të ndotura. Ne gjithashtu do të sigurojmë një plan të duhur që është në vend dhe zbatohet për mbrojtjen nga zjarri dhe emergjencat e tjera.</w:t>
      </w:r>
    </w:p>
    <w:p>
      <w:pPr>
        <w:spacing w:before="0" w:after="160" w:line="278"/>
        <w:ind w:right="0" w:left="0" w:firstLine="0"/>
        <w:jc w:val="left"/>
        <w:rPr>
          <w:rFonts w:ascii="Times New Roman" w:hAnsi="Times New Roman" w:cs="Times New Roman" w:eastAsia="Times New Roman"/>
          <w:color w:val="auto"/>
          <w:spacing w:val="0"/>
          <w:position w:val="0"/>
          <w:sz w:val="24"/>
          <w:shd w:fill="auto" w:val="clear"/>
        </w:rPr>
      </w:pPr>
    </w:p>
    <w:tbl>
      <w:tblPr>
        <w:tblInd w:w="250" w:type="dxa"/>
      </w:tblPr>
      <w:tblGrid>
        <w:gridCol w:w="4138"/>
        <w:gridCol w:w="1523"/>
        <w:gridCol w:w="1523"/>
        <w:gridCol w:w="1582"/>
      </w:tblGrid>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rrugëve të ri-asfaltuara</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96%</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98%</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99%</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kërkesave të qytetarëve për shërbime publike që janë trajtuar në kohë</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ekonomive familjare të lidhura në sistemin e kanalizimit</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85%</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90%</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Shëndetësisë dhe Mirëqenies Sociale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 S</w:t>
      </w:r>
      <w:r>
        <w:rPr>
          <w:rFonts w:ascii="Times New Roman" w:hAnsi="Times New Roman" w:cs="Times New Roman" w:eastAsia="Times New Roman"/>
          <w:color w:val="auto"/>
          <w:spacing w:val="0"/>
          <w:position w:val="0"/>
          <w:sz w:val="24"/>
          <w:shd w:fill="auto" w:val="clear"/>
        </w:rPr>
        <w:t xml:space="preserve">igurimi i  zbatimit të kujdesit parësor shëndetësor duke i dhënë përparësi zbatimit të masave parandaluese,nëpërmjet zbatimit të konceptit të mjekësisë familjare,si dhe brenda synimeve të politikave shëndetësore të siguroj ofrimin e shërbimeve shëndetësore kualitative, mbikëqyrë situatën epidemiologjike ne nivel komunal. Të ofrojë shërbime shëndetësore cilësore dhe të mbështesë mirëqenien sociale të qytetarëve të Komunës së  Klinës, përmes:</w:t>
      </w:r>
    </w:p>
    <w:p>
      <w:pPr>
        <w:numPr>
          <w:ilvl w:val="0"/>
          <w:numId w:val="1751"/>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Organizimit dhe menaxhimit të shërbimeve shëndetësore në nivel primar dhe njësitë e tjera të kujdesit shëndetësor. </w:t>
      </w:r>
    </w:p>
    <w:p>
      <w:pPr>
        <w:numPr>
          <w:ilvl w:val="0"/>
          <w:numId w:val="1751"/>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Implementimit të projekteve dhe aktiviteteve për përmirësimin e kushteve të shërbimeve shëndetësore dhe mirëqenies sociale.</w:t>
      </w:r>
    </w:p>
    <w:p>
      <w:pPr>
        <w:numPr>
          <w:ilvl w:val="0"/>
          <w:numId w:val="1751"/>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Mbikëqyrjes dhe vlerësimit të cilësisë së shërbimeve për të siguruar përputhshmërinë me standardet dhe rregulloret në fuqi.</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  </w:t>
      </w:r>
      <w:r>
        <w:rPr>
          <w:rFonts w:ascii="Times New Roman" w:hAnsi="Times New Roman" w:cs="Times New Roman" w:eastAsia="Times New Roman"/>
          <w:color w:val="auto"/>
          <w:spacing w:val="0"/>
          <w:position w:val="0"/>
          <w:sz w:val="24"/>
          <w:shd w:fill="auto" w:val="clear"/>
        </w:rPr>
        <w:t xml:space="preserve">Kujdesi për informimin shëndetësor,kujdesi esencial kurativ, dhe  emergjent gjatë 24 orëve,shëndeti oral,shëndeti mendor,furnizimi me barna,kujdesi antenatal ,kujdesi posnatal, planifikimi familjar, kujdesi paliativ etj. Të krijojë një sistem shëndetësor dhe të mirëqenies sociale të qëndrueshëm dhe efikas, ku:</w:t>
      </w:r>
    </w:p>
    <w:p>
      <w:pPr>
        <w:numPr>
          <w:ilvl w:val="0"/>
          <w:numId w:val="1753"/>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Qytetarët kanë akses të barabartë dhe të shpejtë në shërbime shëndetësore cilësore </w:t>
      </w:r>
    </w:p>
    <w:p>
      <w:pPr>
        <w:numPr>
          <w:ilvl w:val="0"/>
          <w:numId w:val="1753"/>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Shërbimet janë të orientuara drejt nevojave dhe kërkesave të komunitetit, duke siguruar përfshirje dhe pjesëmarrje aktive.</w:t>
      </w:r>
    </w:p>
    <w:p>
      <w:pPr>
        <w:numPr>
          <w:ilvl w:val="0"/>
          <w:numId w:val="1753"/>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Përmirësimi i vazhdueshëm i kushteve dhe cilësisë së shërbimeve është prioritet, përmes investimeve dhe inovacioneve.</w:t>
      </w:r>
    </w:p>
    <w:p>
      <w:pPr>
        <w:spacing w:before="0" w:after="160" w:line="278"/>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Ind w:w="250" w:type="dxa"/>
      </w:tblPr>
      <w:tblGrid>
        <w:gridCol w:w="4659"/>
        <w:gridCol w:w="996"/>
        <w:gridCol w:w="1526"/>
        <w:gridCol w:w="1585"/>
      </w:tblGrid>
      <w:tr>
        <w:trPr>
          <w:trHeight w:val="1" w:hRule="atLeast"/>
          <w:jc w:val="left"/>
        </w:trPr>
        <w:tc>
          <w:tcPr>
            <w:tcW w:w="46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9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1" w:hRule="atLeast"/>
          <w:jc w:val="left"/>
        </w:trPr>
        <w:tc>
          <w:tcPr>
            <w:tcW w:w="46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Raporti i numrit të qytetarëve me numrin e objekteve të kujdesit shëndetësor primar</w:t>
            </w:r>
          </w:p>
        </w:tc>
        <w:tc>
          <w:tcPr>
            <w:tcW w:w="9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20000</w:t>
            </w:r>
          </w:p>
        </w:tc>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20000</w:t>
            </w:r>
          </w:p>
        </w:tc>
        <w:tc>
          <w:tcPr>
            <w:tcW w:w="1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20000</w:t>
            </w:r>
          </w:p>
        </w:tc>
      </w:tr>
      <w:tr>
        <w:trPr>
          <w:trHeight w:val="616" w:hRule="auto"/>
          <w:jc w:val="left"/>
        </w:trPr>
        <w:tc>
          <w:tcPr>
            <w:tcW w:w="46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fëmijëve nën moshën 1 vjeçar që e përfundojnë rrethin e parë të imunizimit</w:t>
            </w:r>
          </w:p>
        </w:tc>
        <w:tc>
          <w:tcPr>
            <w:tcW w:w="9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1" w:hRule="atLeast"/>
          <w:jc w:val="left"/>
        </w:trPr>
        <w:tc>
          <w:tcPr>
            <w:tcW w:w="46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Raporti i numrit të doktorëve me numrin e qytetarëve</w:t>
            </w:r>
          </w:p>
        </w:tc>
        <w:tc>
          <w:tcPr>
            <w:tcW w:w="9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2000</w:t>
            </w:r>
          </w:p>
        </w:tc>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2000</w:t>
            </w:r>
          </w:p>
        </w:tc>
        <w:tc>
          <w:tcPr>
            <w:tcW w:w="1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2000</w:t>
            </w:r>
          </w:p>
        </w:tc>
      </w:tr>
      <w:tr>
        <w:trPr>
          <w:trHeight w:val="1" w:hRule="atLeast"/>
          <w:jc w:val="left"/>
        </w:trPr>
        <w:tc>
          <w:tcPr>
            <w:tcW w:w="46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shkollave që marrin pjesë në fushatën për vetëdijesimin dentar</w:t>
            </w:r>
          </w:p>
        </w:tc>
        <w:tc>
          <w:tcPr>
            <w:tcW w:w="9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90%</w:t>
            </w:r>
          </w:p>
        </w:tc>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92%</w:t>
            </w:r>
          </w:p>
        </w:tc>
        <w:tc>
          <w:tcPr>
            <w:tcW w:w="15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94%</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Drejtoria e Planifikimit Urban dhe Mjedisit</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Vizioni:</w:t>
      </w:r>
      <w:r>
        <w:rPr>
          <w:rFonts w:ascii="Times New Roman" w:hAnsi="Times New Roman" w:cs="Times New Roman" w:eastAsia="Times New Roman"/>
          <w:color w:val="auto"/>
          <w:spacing w:val="0"/>
          <w:position w:val="0"/>
          <w:sz w:val="24"/>
          <w:shd w:fill="FFFFFF" w:val="clear"/>
        </w:rPr>
        <w:t xml:space="preserve"> Drejtoria e Urbanizimit dhe Mjedisit ka për qëllim planifikimin dhe menaxhimin e qëndrueshëm të territorit urban dhe rural, duke siguruar zhvillimin e infrastrukturës, ruajtjen e mjedisit dhe përmirësimin e kushteve të jetesës për qytetarët. Ajo angazhohet në hartimin dhe zbatimin e planeve hapësinore dhe urbanistike, lëshimin e lejeve të ndërtimit, si dhe mbikëqyrjen e respektimit të rregullave dhe standardeve të mjedisit Mjedis natyror atraktiv të pastër tërheqës dhe përdorim më efektiv i tokës, infratrukturë të  planifikuar sipas standarteve Evropiane.  </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 </w:t>
      </w:r>
      <w:r>
        <w:rPr>
          <w:rFonts w:ascii="Times New Roman" w:hAnsi="Times New Roman" w:cs="Times New Roman" w:eastAsia="Times New Roman"/>
          <w:color w:val="auto"/>
          <w:spacing w:val="0"/>
          <w:position w:val="0"/>
          <w:sz w:val="24"/>
          <w:shd w:fill="auto" w:val="clear"/>
        </w:rPr>
        <w:t xml:space="preserve">Të krijojmë një mjedis të organizuar, të gjelbër dhe të qëndrueshëm, ku zhvillimi urban dhe mbrojtja e natyrës janë të balancuara. Të kontribuojmë në ndërtimin e një komuniteti të ndërgjegjshëm dhe të angazhuar për ruajtjen e resurseve natyrore dhe përmirësimin e cilësisë së jetesës. Mbajtjen e regjistrit të saktë të tokës, hartave dhe tokës tjetër dhe ndërtimin e bazave të të dhënave të ndërlidhura, do të përpiqemi për të zhvilluar plane rregullore për përdorimin më efektiv dhe efikas të tokës dhe ndërtesave në të gjithë komunën e Klinës. Duke bashkëpunuar ngushtë me drejtoritë e tjera ne dëshirojmë për të siguruar dhe arritur obligime statusore dhe ligjore, duke bërë që ato të jenë përmbushur në përputhje me plane te zhvilluara Urbane, dhe Planit Hapësinor edhe aktiviteteve për mbrojtjen e mjedisit. Me lëshimin e lejeve të ndërtimit dhe kryerjen e inspektimeve ne dëshirojmë që të sigurohet që zhvillimi dhe ndërtimi të jetë në përputhje me të gjitha kërkesat ligjore. Brenda kësaj drejtorie ne gjithashtu bëjmë inicimi e shpronësimit të tokës për të lehtësuar zbatimin në kohë dhe efektiv të projekteve të zhvillimit të infrastrukturës. Përveç kësaj ne ofrojmë Rregullore në fushën e menaxhimit të mbeturinave dhe të promovojmë respektimin e mjedisit dhe turizmit për të krijuar një komunë  me ambient të pastër, të gjelbër dhe më tërheqës.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2520"/>
        <w:gridCol w:w="2250"/>
        <w:gridCol w:w="2250"/>
        <w:gridCol w:w="2340"/>
      </w:tblGrid>
      <w:tr>
        <w:trPr>
          <w:trHeight w:val="1" w:hRule="atLeast"/>
          <w:jc w:val="left"/>
        </w:trPr>
        <w:tc>
          <w:tcPr>
            <w:tcW w:w="25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FFFFFF" w:val="clear"/>
              </w:rPr>
              <w:t xml:space="preserve">Indikatori</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FFFFFF" w:val="clear"/>
              </w:rPr>
              <w:t xml:space="preserve">2027</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FFFFFF" w:val="clear"/>
              </w:rPr>
              <w:t xml:space="preserve">2028</w:t>
            </w:r>
          </w:p>
        </w:tc>
        <w:tc>
          <w:tcPr>
            <w:tcW w:w="23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FFFFFF" w:val="clear"/>
              </w:rPr>
              <w:t xml:space="preserve">2029</w:t>
            </w:r>
          </w:p>
        </w:tc>
      </w:tr>
      <w:tr>
        <w:trPr>
          <w:trHeight w:val="1" w:hRule="atLeast"/>
          <w:jc w:val="left"/>
        </w:trPr>
        <w:tc>
          <w:tcPr>
            <w:tcW w:w="25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Koha për lëshimin e lejes ndërtimore</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30 ditë kategoria e I</w:t>
            </w:r>
          </w:p>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45 ditë kategoria e II</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30 ditë kategoria e I</w:t>
            </w:r>
          </w:p>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45 ditë kategoria e II</w:t>
            </w:r>
          </w:p>
        </w:tc>
        <w:tc>
          <w:tcPr>
            <w:tcW w:w="23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30 ditë kategoria e I</w:t>
            </w:r>
          </w:p>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45 ditë kategoria e II</w:t>
            </w:r>
          </w:p>
        </w:tc>
      </w:tr>
      <w:tr>
        <w:trPr>
          <w:trHeight w:val="616" w:hRule="auto"/>
          <w:jc w:val="left"/>
        </w:trPr>
        <w:tc>
          <w:tcPr>
            <w:tcW w:w="25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Numri i lejeve të lëshuara brenda afatit ligjore</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80</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90</w:t>
            </w:r>
          </w:p>
        </w:tc>
        <w:tc>
          <w:tcPr>
            <w:tcW w:w="23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90</w:t>
            </w:r>
          </w:p>
        </w:tc>
      </w:tr>
      <w:tr>
        <w:trPr>
          <w:trHeight w:val="1" w:hRule="atLeast"/>
          <w:jc w:val="left"/>
        </w:trPr>
        <w:tc>
          <w:tcPr>
            <w:tcW w:w="25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Koha e nevojshme për lëshimin e certifikatës së perdorimit nga dita e kërkesës së qytetarit/qytetarespër lëshimin e certifikatës</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15 ditë</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15 ditë</w:t>
            </w:r>
          </w:p>
        </w:tc>
        <w:tc>
          <w:tcPr>
            <w:tcW w:w="23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rFonts w:ascii="Times New Roman" w:hAnsi="Times New Roman" w:cs="Times New Roman" w:eastAsia="Times New Roman"/>
                <w:color w:val="auto"/>
                <w:spacing w:val="0"/>
                <w:position w:val="0"/>
                <w:sz w:val="24"/>
                <w:shd w:fill="FFFFFF" w:val="clear"/>
              </w:rPr>
            </w:pPr>
          </w:p>
          <w:p>
            <w:pPr>
              <w:spacing w:before="0" w:after="0" w:line="276"/>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15 ditë</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Bujqësisë , Pylltari dhe Zhvillim rural</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w:t>
      </w:r>
      <w:r>
        <w:rPr>
          <w:rFonts w:ascii="Times New Roman" w:hAnsi="Times New Roman" w:cs="Times New Roman" w:eastAsia="Times New Roman"/>
          <w:color w:val="auto"/>
          <w:spacing w:val="0"/>
          <w:position w:val="0"/>
          <w:sz w:val="24"/>
          <w:shd w:fill="auto" w:val="clear"/>
        </w:rPr>
        <w:t xml:space="preserve"> Të kontribuojmë në zhvillimin e qëndrueshëm dhe konkurrues të sektorit bujqësor dhe zonave rurale, duke ofruar mbështetje profesionale dhe administrative për fermerët dhe komunitetet rurale. Të angazhohemi në implementimin e politikave zhvillimore, nxitjen e investimeve dhe përmirësimin e kushteve të jetesës në fshatra.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78"/>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  </w:t>
      </w:r>
      <w:r>
        <w:rPr>
          <w:rFonts w:ascii="Times New Roman" w:hAnsi="Times New Roman" w:cs="Times New Roman" w:eastAsia="Times New Roman"/>
          <w:color w:val="auto"/>
          <w:spacing w:val="0"/>
          <w:position w:val="0"/>
          <w:sz w:val="24"/>
          <w:shd w:fill="auto" w:val="clear"/>
        </w:rPr>
        <w:t xml:space="preserve">Të krijohet një komunë e zhvilluar dhe e qëndrueshme, ku bujqësia dhe zhvillimi rural janë motorë të rritjes ekonomike dhe mirëqenies sociale. Të arrihet një balancë midis zhvillimit ekonomik, mbrojtjes së mjedisit dhe përmirësimit të kushteve të jetesës për qytetarët ruralë. Të krijojmë një sistem të qëndrueshëm dhe efikas të menaxhimit të ujëra ve dhe digave, duke mbrojtur jetën dhe pasuritë e qytetarëve dhe duke mbështetur zhvillimin e qëndrueshëm të sektorit të bujqësisë. Do të promovojmë mbrojtjen e mjedisit tonë natyror dhe të zbatojmë legjislacionin përkatës në fushën e mjedisit dhe ruajtjes së pyjeve.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Ind w:w="250" w:type="dxa"/>
      </w:tblPr>
      <w:tblGrid>
        <w:gridCol w:w="4138"/>
        <w:gridCol w:w="1523"/>
        <w:gridCol w:w="1523"/>
        <w:gridCol w:w="1582"/>
      </w:tblGrid>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tokës bujqësore që është duke u kultivuar</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93%</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93%</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93%</w:t>
            </w:r>
          </w:p>
        </w:tc>
      </w:tr>
      <w:tr>
        <w:trPr>
          <w:trHeight w:val="616"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tokës bujqësore që është duke u ujitur</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w:t>
            </w:r>
          </w:p>
        </w:tc>
      </w:tr>
      <w:tr>
        <w:trPr>
          <w:trHeight w:val="1" w:hRule="atLeast"/>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rritjës së rendimenteve për ha </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Kadastër e Gjeodezi</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Misioni:</w:t>
      </w:r>
      <w:r>
        <w:rPr>
          <w:rFonts w:ascii="Times New Roman" w:hAnsi="Times New Roman" w:cs="Times New Roman" w:eastAsia="Times New Roman"/>
          <w:color w:val="auto"/>
          <w:spacing w:val="0"/>
          <w:position w:val="0"/>
          <w:sz w:val="24"/>
          <w:shd w:fill="auto" w:val="clear"/>
        </w:rPr>
        <w:t xml:space="preserve"> Drejtoria për Gjeodezi dhe Kadastër angazhohet në ofrimin e shërbimeve profesionale dhe administrative për menaxhimin e pronës së paluajtshme, zhvillimin e sistemit kadastral dhe gjeodezik, si dhe përmirësimin e kushteve të jetesës në zonat urbane dhe rurale. Ajo kontribuon në zhvillimin e qëndrueshëm të komunës përmes ofrimit të shërbimeve efikase dhe të besueshme për qytetarët dhe institucionet.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w:t>
      </w:r>
      <w:r>
        <w:rPr>
          <w:rFonts w:ascii="Times New Roman" w:hAnsi="Times New Roman" w:cs="Times New Roman" w:eastAsia="Times New Roman"/>
          <w:color w:val="auto"/>
          <w:spacing w:val="0"/>
          <w:position w:val="0"/>
          <w:sz w:val="24"/>
          <w:shd w:fill="auto" w:val="clear"/>
        </w:rPr>
        <w:t xml:space="preserve"> Të krijohet një sistem i integruar dhe efikas i menaxhimit të pronës dhe zhvillimit hapësinor, i cili mbështet zhvillimin e qëndrueshëm dhe përmirëson cilësinë e jetesës për qytetarët. Drejtoria synon të jetë një institucioni i besueshëm dhe i përgjegjshëm, që ofron shërbime të cilësisë së lartë, transparente dhe innovative që kontribuojnë në rritjen e transparencës dhe llogaridhënies në menaxhimin e pronës dhe zhvillimin hapësinor.</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Objektivat: </w:t>
      </w:r>
    </w:p>
    <w:p>
      <w:pPr>
        <w:numPr>
          <w:ilvl w:val="0"/>
          <w:numId w:val="1816"/>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Të zhvillohet dhe mirëmbahen sistemet kadastrale dhe gjeodezike për të siguruar informacion të saktë dhe të besueshëm mbi pronën dhe zhvillimin hapësinor.</w:t>
      </w:r>
    </w:p>
    <w:p>
      <w:pPr>
        <w:numPr>
          <w:ilvl w:val="0"/>
          <w:numId w:val="1816"/>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Të ofrohen shërbime të regjistrimit dhe dokumentimit të pronës për qytetarët dhe institucionet, duke siguruar një menaxhim të mirë të pronës dhe zhvillimit hapësinor.</w:t>
      </w:r>
      <w:r>
        <w:rPr>
          <w:rFonts w:ascii="Times New Roman" w:hAnsi="Times New Roman" w:cs="Times New Roman" w:eastAsia="Times New Roman"/>
          <w:color w:val="auto"/>
          <w:spacing w:val="0"/>
          <w:position w:val="0"/>
          <w:sz w:val="22"/>
          <w:shd w:fill="auto" w:val="clear"/>
        </w:rPr>
        <w:t xml:space="preserve"> Të zhvillojmë një platformë online që lejon qytetarët të aksesojnë dhe të menaxhojnë informacionin e tyre pronësor në kohë reale brenda dy viteve të ardhshme.</w:t>
      </w:r>
    </w:p>
    <w:p>
      <w:pPr>
        <w:numPr>
          <w:ilvl w:val="0"/>
          <w:numId w:val="1816"/>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Të rriten kapacitetet profesionale dhe institucionale për të siguruar një menaxhim efikas dhe të qëndrueshëm të pronës dhe zhvillimit hapësinor.</w:t>
      </w:r>
    </w:p>
    <w:p>
      <w:pPr>
        <w:numPr>
          <w:ilvl w:val="0"/>
          <w:numId w:val="1816"/>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Të reduktojmë kohën e përpunimit të aplikimeve për regjistrim të pronësisë dhe shërbimeve të tjera kadastrale për 30% brenda tre viteve të ardhshme.</w:t>
      </w:r>
    </w:p>
    <w:p>
      <w:pPr>
        <w:numPr>
          <w:ilvl w:val="0"/>
          <w:numId w:val="1816"/>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Të realizojmë një inventarizim të plotë të të gjitha pronave publike dhe private brenda komunës brenda pesë viteve të ardhshme.</w:t>
      </w:r>
    </w:p>
    <w:p>
      <w:pPr>
        <w:numPr>
          <w:ilvl w:val="0"/>
          <w:numId w:val="1816"/>
        </w:numPr>
        <w:spacing w:before="0" w:after="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Të organizojmë të paktën dy fushata informuese në vit për të rritur ndërgjegjësimin e qytetarëve mbi të drejtat e tyre pronësore dhe procedurat kadastrale.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Ind w:w="113" w:type="dxa"/>
      </w:tblPr>
      <w:tblGrid>
        <w:gridCol w:w="5322"/>
        <w:gridCol w:w="1354"/>
        <w:gridCol w:w="1257"/>
        <w:gridCol w:w="1257"/>
      </w:tblGrid>
      <w:tr>
        <w:trPr>
          <w:trHeight w:val="56" w:hRule="auto"/>
          <w:jc w:val="left"/>
        </w:trPr>
        <w:tc>
          <w:tcPr>
            <w:tcW w:w="5322"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Indikatorët për Matjen e Performancës në drejtim të përmbushjes së Objektivave</w:t>
            </w:r>
          </w:p>
        </w:tc>
        <w:tc>
          <w:tcPr>
            <w:tcW w:w="1354"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257"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2028</w:t>
            </w:r>
          </w:p>
        </w:tc>
        <w:tc>
          <w:tcPr>
            <w:tcW w:w="1257"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2029</w:t>
            </w:r>
          </w:p>
        </w:tc>
      </w:tr>
      <w:tr>
        <w:trPr>
          <w:trHeight w:val="1104" w:hRule="auto"/>
          <w:jc w:val="left"/>
        </w:trPr>
        <w:tc>
          <w:tcPr>
            <w:tcW w:w="5322"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Të përmirësojmë sistemin e regjistrimit të tokës dhe pronësisë për të siguruar saktësinë dhe integritetin e të dhënave kadastrale. </w:t>
            </w:r>
          </w:p>
        </w:tc>
        <w:tc>
          <w:tcPr>
            <w:tcW w:w="1354"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257"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257" w:type="dxa"/>
            <w:tcBorders>
              <w:top w:val="single" w:color="000000" w:sz="4"/>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343" w:hRule="auto"/>
          <w:jc w:val="left"/>
        </w:trPr>
        <w:tc>
          <w:tcPr>
            <w:tcW w:w="5322"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Të rrisim efikasitetin dhe transparencën në proceset administrative dhe shërbimet ndaj qytetarëve.</w:t>
            </w:r>
          </w:p>
        </w:tc>
        <w:tc>
          <w:tcPr>
            <w:tcW w:w="1354"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257"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257"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437" w:hRule="auto"/>
          <w:jc w:val="left"/>
        </w:trPr>
        <w:tc>
          <w:tcPr>
            <w:tcW w:w="5322"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Të promovojmë përdorimin e teknologjive të avancuara gjeodezike dhe GIS për menaxhimin dhe planifikimin e tokës.</w:t>
            </w:r>
          </w:p>
        </w:tc>
        <w:tc>
          <w:tcPr>
            <w:tcW w:w="1354"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98%</w:t>
            </w:r>
          </w:p>
        </w:tc>
        <w:tc>
          <w:tcPr>
            <w:tcW w:w="1257"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257" w:type="dxa"/>
            <w:tcBorders>
              <w:top w:val="single" w:color="000000" w:sz="8"/>
              <w:left w:val="single" w:color="000000" w:sz="4"/>
              <w:bottom w:val="single" w:color="000000" w:sz="4"/>
              <w:right w:val="single" w:color="000000" w:sz="4"/>
            </w:tcBorders>
            <w:shd w:color="000000" w:fill="ffffff" w:val="clear"/>
            <w:tcMar>
              <w:left w:w="112" w:type="dxa"/>
              <w:right w:w="112"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Arsimit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78"/>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w:t>
      </w:r>
      <w:r>
        <w:rPr>
          <w:rFonts w:ascii="Times New Roman" w:hAnsi="Times New Roman" w:cs="Times New Roman" w:eastAsia="Times New Roman"/>
          <w:color w:val="auto"/>
          <w:spacing w:val="0"/>
          <w:position w:val="0"/>
          <w:sz w:val="24"/>
          <w:shd w:fill="auto" w:val="clear"/>
        </w:rPr>
        <w:t xml:space="preserve"> Të sigurojë arsim cilësor dhe të barabartë për të gjithë nxënësit e Komunës së Klinës, përmes:</w:t>
      </w:r>
    </w:p>
    <w:p>
      <w:pPr>
        <w:numPr>
          <w:ilvl w:val="0"/>
          <w:numId w:val="1838"/>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Menaxhimit efikas të institucioneve arsimore, duke siguruar që ato të funksionojnë në përputhje me standardet dhe rregulloret e arsimit.</w:t>
      </w:r>
    </w:p>
    <w:p>
      <w:pPr>
        <w:numPr>
          <w:ilvl w:val="0"/>
          <w:numId w:val="1838"/>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Implementimit të politikave arsimore të nivelit qendror dhe lokal, duke siguruar që ato të përshtaten me nevojat dhe prioritetet e komunitetit</w:t>
      </w:r>
    </w:p>
    <w:p>
      <w:pPr>
        <w:numPr>
          <w:ilvl w:val="0"/>
          <w:numId w:val="1838"/>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Mbështetjes dhe zhvillimit profesional të mësimdhënësve dhe stafit arsimor, përmes trajnimeve dhe mundësive për zhvillim të vazhdueshëm.</w:t>
      </w:r>
    </w:p>
    <w:p>
      <w:pPr>
        <w:numPr>
          <w:ilvl w:val="0"/>
          <w:numId w:val="1838"/>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Përmirësimit të kushteve infrastrukturore të shkollave, duke investuar në renovimin dhe modernizimin e objekteve shkollore.</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 </w:t>
      </w:r>
      <w:r>
        <w:rPr>
          <w:rFonts w:ascii="Times New Roman" w:hAnsi="Times New Roman" w:cs="Times New Roman" w:eastAsia="Times New Roman"/>
          <w:color w:val="auto"/>
          <w:spacing w:val="0"/>
          <w:position w:val="0"/>
          <w:sz w:val="24"/>
          <w:shd w:fill="auto" w:val="clear"/>
        </w:rPr>
        <w:t xml:space="preserve">Zbatimin e Rregullores kombëtare dhe legjislacionit të duhur arsimor, dhe politikat gjegjëse. Komunikim i hapur me publikun për të gjitha çështjet që lidhen me politikën e arsimit dhe të procesit përbrenda komunës. Vizioni i Drejtorisë së Arsimit është të krijojë një sistem arsimor të qëndrueshëm dhe cilësor, ku:</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842"/>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Nxënësit zhvillohen në një mjedis të sigurt dhe mbështetës, ku respektohen të drejtat e tyre dhe promovohen vlerat e barazisë dhe drejtësisë.</w:t>
      </w:r>
    </w:p>
    <w:p>
      <w:pPr>
        <w:numPr>
          <w:ilvl w:val="0"/>
          <w:numId w:val="1842"/>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Mësimdhënësit janë të motivuar dhe të aftë profesionalisht, duke ofruar mësim cilësor dhe duke kontribuar në zhvillimin e nxënësve.</w:t>
      </w:r>
    </w:p>
    <w:p>
      <w:pPr>
        <w:numPr>
          <w:ilvl w:val="0"/>
          <w:numId w:val="1842"/>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Institucionet arsimore janë të pajisura me infrastrukturë moderne dhe të përshtatshme, duke siguruar kushte optimale për mësim dhe zhvillim.</w:t>
      </w:r>
    </w:p>
    <w:p>
      <w:pPr>
        <w:numPr>
          <w:ilvl w:val="0"/>
          <w:numId w:val="1842"/>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Komuniteti është aktiv dhe i angazhuar në procesin arsimor, duke kontribuar në zhvillimin dhe përmirësimin e vazhdueshëm të arsimit.</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Ind w:w="250" w:type="dxa"/>
      </w:tblPr>
      <w:tblGrid>
        <w:gridCol w:w="4228"/>
        <w:gridCol w:w="1556"/>
        <w:gridCol w:w="1556"/>
        <w:gridCol w:w="1616"/>
      </w:tblGrid>
      <w:tr>
        <w:trPr>
          <w:trHeight w:val="312"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629"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Numri i nxënësve që kalojnë me sukses provimet e maturës shtetërore</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239</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245</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260</w:t>
            </w:r>
          </w:p>
        </w:tc>
      </w:tr>
      <w:tr>
        <w:trPr>
          <w:trHeight w:val="683"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Numri i nxënësve me aftësi të kufizuara që përfshihen në aktivitete shkollore</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107</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107</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107</w:t>
            </w:r>
          </w:p>
        </w:tc>
      </w:tr>
      <w:tr>
        <w:trPr>
          <w:trHeight w:val="529"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shkollave me sisteme të monitorimit dhe sigurisë</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100%</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100%</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100%</w:t>
            </w:r>
          </w:p>
        </w:tc>
      </w:tr>
      <w:tr>
        <w:trPr>
          <w:trHeight w:val="593"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Numri i nxënësve që ndjekin shkollën rregullisht</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6174</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6240</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6300</w:t>
            </w:r>
          </w:p>
        </w:tc>
      </w:tr>
      <w:tr>
        <w:trPr>
          <w:trHeight w:val="620"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shkollave me kushte të mira higjieno-sanitare</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r>
      <w:tr>
        <w:trPr>
          <w:trHeight w:val="611" w:hRule="auto"/>
          <w:jc w:val="left"/>
        </w:trPr>
        <w:tc>
          <w:tcPr>
            <w:tcW w:w="42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shkollave të pajisura me teknologji moderne</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70%</w:t>
            </w:r>
          </w:p>
        </w:tc>
        <w:tc>
          <w:tcPr>
            <w:tcW w:w="15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75%</w:t>
            </w:r>
          </w:p>
        </w:tc>
        <w:tc>
          <w:tcPr>
            <w:tcW w:w="16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Administratës dhe personelit</w:t>
      </w:r>
    </w:p>
    <w:p>
      <w:pPr>
        <w:spacing w:before="0" w:after="0" w:line="240"/>
        <w:ind w:right="0" w:left="0" w:firstLine="0"/>
        <w:jc w:val="both"/>
        <w:rPr>
          <w:rFonts w:ascii="Times New Roman" w:hAnsi="Times New Roman" w:cs="Times New Roman" w:eastAsia="Times New Roman"/>
          <w:b/>
          <w:color w:val="auto"/>
          <w:spacing w:val="0"/>
          <w:position w:val="0"/>
          <w:sz w:val="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w:t>
      </w:r>
      <w:r>
        <w:rPr>
          <w:rFonts w:ascii="Times New Roman" w:hAnsi="Times New Roman" w:cs="Times New Roman" w:eastAsia="Times New Roman"/>
          <w:color w:val="auto"/>
          <w:spacing w:val="0"/>
          <w:position w:val="0"/>
          <w:sz w:val="24"/>
          <w:shd w:fill="auto" w:val="clear"/>
        </w:rPr>
        <w:t xml:space="preserve"> Të menaxhojë burimet njerëzore të administratës publike lokale, duke zbatuar politikat e shërbimit civil, duke siguruar rekrutimin, trajnimin dhe zhvillimin profesional të stafit, dhe duke garantuar një mjedis pune të drejtë dhe të barabartë.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78"/>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Vizioni</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Të krijojë një administratë publike të aftë, të motivuar dhe të përgjegjshme, që ofron shërbime cilësore dhe të shpejta për qytetarët, duke kontribuar në zhvillimin e qëndrueshëm dhe transparencën e administratës lokale.</w:t>
      </w:r>
      <w:r>
        <w:rPr>
          <w:rFonts w:ascii="Times New Roman" w:hAnsi="Times New Roman" w:cs="Times New Roman" w:eastAsia="Times New Roman"/>
          <w:color w:val="auto"/>
          <w:spacing w:val="0"/>
          <w:position w:val="0"/>
          <w:sz w:val="24"/>
          <w:u w:val="single"/>
          <w:shd w:fill="auto" w:val="clear"/>
        </w:rPr>
        <w:t xml:space="preserve"> Të </w:t>
      </w:r>
      <w:r>
        <w:rPr>
          <w:rFonts w:ascii="Times New Roman" w:hAnsi="Times New Roman" w:cs="Times New Roman" w:eastAsia="Times New Roman"/>
          <w:color w:val="auto"/>
          <w:spacing w:val="0"/>
          <w:position w:val="0"/>
          <w:sz w:val="24"/>
          <w:shd w:fill="auto" w:val="clear"/>
        </w:rPr>
        <w:t xml:space="preserve">sigurojmë mbështetje administrative dhe këshilla për të gjitha drejtoritë tjera komunale dhe Kuvendin për të ju mundësuar atyre që t’i arrijnë objektivat dhe synimet e tyre. Për të përmirësuar transparencën për qytetarët tanë, ne mirëmbajmë dhe e freskojmë rregullisht faqen e internetit të komunës.</w:t>
      </w:r>
    </w:p>
    <w:p>
      <w:pPr>
        <w:spacing w:before="0" w:after="0" w:line="240"/>
        <w:ind w:right="0" w:left="0" w:firstLine="0"/>
        <w:jc w:val="both"/>
        <w:rPr>
          <w:rFonts w:ascii="Times New Roman" w:hAnsi="Times New Roman" w:cs="Times New Roman" w:eastAsia="Times New Roman"/>
          <w:color w:val="auto"/>
          <w:spacing w:val="0"/>
          <w:position w:val="0"/>
          <w:sz w:val="8"/>
          <w:shd w:fill="auto" w:val="clear"/>
        </w:rPr>
      </w:pPr>
    </w:p>
    <w:tbl>
      <w:tblPr>
        <w:tblInd w:w="250" w:type="dxa"/>
      </w:tblPr>
      <w:tblGrid>
        <w:gridCol w:w="4282"/>
        <w:gridCol w:w="1575"/>
        <w:gridCol w:w="1575"/>
        <w:gridCol w:w="1636"/>
      </w:tblGrid>
      <w:tr>
        <w:trPr>
          <w:trHeight w:val="633" w:hRule="auto"/>
          <w:jc w:val="left"/>
        </w:trPr>
        <w:tc>
          <w:tcPr>
            <w:tcW w:w="42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821" w:hRule="auto"/>
          <w:jc w:val="left"/>
        </w:trPr>
        <w:tc>
          <w:tcPr>
            <w:tcW w:w="42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e dokumenteve zyrtare të përkthyera nga gjuha shqipe në gjuhën serbe dhe angleze</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 dokumentet që kërkohet</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 dokumentet që kërkohet</w:t>
            </w:r>
          </w:p>
        </w:tc>
        <w:tc>
          <w:tcPr>
            <w:tcW w:w="1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 dokumentet që kërkohet</w:t>
            </w:r>
          </w:p>
        </w:tc>
      </w:tr>
      <w:tr>
        <w:trPr>
          <w:trHeight w:val="821" w:hRule="auto"/>
          <w:jc w:val="left"/>
        </w:trPr>
        <w:tc>
          <w:tcPr>
            <w:tcW w:w="42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Koha mesatare për plotësimin e vendeve të lira të punës . (Koha në ditë)</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 ditë në rast se nuk ka ankesë</w:t>
            </w:r>
          </w:p>
        </w:tc>
        <w:tc>
          <w:tcPr>
            <w:tcW w:w="1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 ditë në rast se nuk ka ankesë</w:t>
            </w:r>
          </w:p>
        </w:tc>
        <w:tc>
          <w:tcPr>
            <w:tcW w:w="1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 ditë në rast se nuk ka ankesë</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Ekonomisë, Financave dhe Buxhetit</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Misioni:</w:t>
      </w:r>
      <w:r>
        <w:rPr>
          <w:rFonts w:ascii="Times New Roman" w:hAnsi="Times New Roman" w:cs="Times New Roman" w:eastAsia="Times New Roman"/>
          <w:color w:val="auto"/>
          <w:spacing w:val="0"/>
          <w:position w:val="0"/>
          <w:sz w:val="24"/>
          <w:shd w:fill="auto" w:val="clear"/>
        </w:rPr>
        <w:t xml:space="preserve"> Të angazhohet në menaxhimin efikas dhe transparent të burimeve financiare të komunës, duke mbështetur zhvillimin ekonomik dhe përmirësimin e kushteve të jetesës për qytetarët. Ajo kontribuon në përgatitjen dhe zbatimin e buxhetit, mbikëqyrjen e shpenzimeve, inkasimin e të hyrave dhe zhvillimin e qëndrueshëm ekonomik të komunës.</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 </w:t>
      </w:r>
      <w:r>
        <w:rPr>
          <w:rFonts w:ascii="Times New Roman" w:hAnsi="Times New Roman" w:cs="Times New Roman" w:eastAsia="Times New Roman"/>
          <w:color w:val="auto"/>
          <w:spacing w:val="0"/>
          <w:position w:val="0"/>
          <w:sz w:val="24"/>
          <w:shd w:fill="auto" w:val="clear"/>
        </w:rPr>
        <w:t xml:space="preserve">Të krijohet një komunë me menaxhim të qëndrueshëm dhe transparent të financave publike, ku burimet financiare shfrytëzohen në mënyrë efikase për të mbështetur zhvillimin ekonomik, përmirësimin e shërbimeve publike dhe rritjen e mirëqenies së qytetarëve. Drejtoria synon të jetë një institucion i besueshëm dhe i përgjegjshëm, që ofron shërbime të cilësisë së lartë dhe kontribuon në rritjen e transparencës dhe llogaridhënies në menaxhimin e financave publike.</w:t>
      </w: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Qëllimet:</w:t>
      </w:r>
    </w:p>
    <w:p>
      <w:pPr>
        <w:numPr>
          <w:ilvl w:val="0"/>
          <w:numId w:val="1881"/>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Menaxhimi efikas i burimeve financiare</w:t>
      </w:r>
      <w:r>
        <w:rPr>
          <w:rFonts w:ascii="Times New Roman" w:hAnsi="Times New Roman" w:cs="Times New Roman" w:eastAsia="Times New Roman"/>
          <w:color w:val="auto"/>
          <w:spacing w:val="0"/>
          <w:position w:val="0"/>
          <w:sz w:val="24"/>
          <w:shd w:fill="auto" w:val="clear"/>
        </w:rPr>
        <w:t xml:space="preserve">: Sigurimi i një menaxhimi të efektshëm dhe të qëndrueshëm të burimeve financiare të komunës për të mbështetur zhvillimin ekonomik dhe përmirësimin e shërbimeve publike.</w:t>
      </w:r>
    </w:p>
    <w:p>
      <w:pPr>
        <w:numPr>
          <w:ilvl w:val="0"/>
          <w:numId w:val="1881"/>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Ofrimi i shërbimeve profesionale dhe administrative</w:t>
      </w:r>
      <w:r>
        <w:rPr>
          <w:rFonts w:ascii="Times New Roman" w:hAnsi="Times New Roman" w:cs="Times New Roman" w:eastAsia="Times New Roman"/>
          <w:color w:val="auto"/>
          <w:spacing w:val="0"/>
          <w:position w:val="0"/>
          <w:sz w:val="24"/>
          <w:shd w:fill="auto" w:val="clear"/>
        </w:rPr>
        <w:t xml:space="preserve">: Ofrimi i shërbimeve profesionale dhe administrative për qytetarët dhe institucionet, duke siguruar një menaxhim të mirë të financave publike dhe zhvillimit ekonomik.</w:t>
      </w:r>
    </w:p>
    <w:p>
      <w:pPr>
        <w:numPr>
          <w:ilvl w:val="0"/>
          <w:numId w:val="1881"/>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Zhvillimi i qëndrueshëm ekonomik</w:t>
      </w:r>
      <w:r>
        <w:rPr>
          <w:rFonts w:ascii="Times New Roman" w:hAnsi="Times New Roman" w:cs="Times New Roman" w:eastAsia="Times New Roman"/>
          <w:color w:val="auto"/>
          <w:spacing w:val="0"/>
          <w:position w:val="0"/>
          <w:sz w:val="24"/>
          <w:shd w:fill="auto" w:val="clear"/>
        </w:rPr>
        <w:t xml:space="preserve">: Krijimi i kushteve të favorshme për zhvillimin e qëndrueshëm ekonomik, përfshirë mbështetje për bizneset, zhvillimin e infrastrukturës dhe përmirësimin e kushteve të jetesës.</w:t>
      </w:r>
    </w:p>
    <w:p>
      <w:pPr>
        <w:numPr>
          <w:ilvl w:val="0"/>
          <w:numId w:val="1881"/>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Rritja e transparencës dhe llogaridhënies</w:t>
      </w:r>
      <w:r>
        <w:rPr>
          <w:rFonts w:ascii="Times New Roman" w:hAnsi="Times New Roman" w:cs="Times New Roman" w:eastAsia="Times New Roman"/>
          <w:color w:val="auto"/>
          <w:spacing w:val="0"/>
          <w:position w:val="0"/>
          <w:sz w:val="24"/>
          <w:shd w:fill="auto" w:val="clear"/>
        </w:rPr>
        <w:t xml:space="preserve">: Sigurimi i një administrate të hapur dhe të përgjegjshme, ku qytetarët kanë mundësi të informohen dhe të angazhohen në proceset vendimmarrëse dhe menaxhimin e financave publike.</w:t>
      </w: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Objektivat:</w:t>
      </w:r>
    </w:p>
    <w:p>
      <w:pPr>
        <w:numPr>
          <w:ilvl w:val="0"/>
          <w:numId w:val="1883"/>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Hartimi dhe zbatimi i buxhetit</w:t>
      </w:r>
      <w:r>
        <w:rPr>
          <w:rFonts w:ascii="Times New Roman" w:hAnsi="Times New Roman" w:cs="Times New Roman" w:eastAsia="Times New Roman"/>
          <w:color w:val="auto"/>
          <w:spacing w:val="0"/>
          <w:position w:val="0"/>
          <w:sz w:val="24"/>
          <w:shd w:fill="auto" w:val="clear"/>
        </w:rPr>
        <w:t xml:space="preserve">: Përgatitja dhe zbatimi i buxhetit të komunës në përputhje me ligjet dhe rregulloret përkatëse, duke siguruar alokimin efikas të burimeve financiare.</w:t>
      </w:r>
    </w:p>
    <w:p>
      <w:pPr>
        <w:numPr>
          <w:ilvl w:val="0"/>
          <w:numId w:val="1883"/>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Mbikëqyrja dhe monitorimi i shpenzimeve</w:t>
      </w:r>
      <w:r>
        <w:rPr>
          <w:rFonts w:ascii="Times New Roman" w:hAnsi="Times New Roman" w:cs="Times New Roman" w:eastAsia="Times New Roman"/>
          <w:color w:val="auto"/>
          <w:spacing w:val="0"/>
          <w:position w:val="0"/>
          <w:sz w:val="24"/>
          <w:shd w:fill="auto" w:val="clear"/>
        </w:rPr>
        <w:t xml:space="preserve">: Mbikëqyrja e shpenzimeve publike për të siguruar përdorimin e duhur dhe të efektshëm të fondeve, duke parandaluar shpërdorimin dhe korrupsionin.</w:t>
      </w:r>
    </w:p>
    <w:p>
      <w:pPr>
        <w:numPr>
          <w:ilvl w:val="0"/>
          <w:numId w:val="1883"/>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Inkasimi i të hyrave vetanake</w:t>
      </w:r>
      <w:r>
        <w:rPr>
          <w:rFonts w:ascii="Times New Roman" w:hAnsi="Times New Roman" w:cs="Times New Roman" w:eastAsia="Times New Roman"/>
          <w:color w:val="auto"/>
          <w:spacing w:val="0"/>
          <w:position w:val="0"/>
          <w:sz w:val="24"/>
          <w:shd w:fill="auto" w:val="clear"/>
        </w:rPr>
        <w:t xml:space="preserve">: Rritja e të hyrave vetanake të komunës përmes inkasimit të taksave dhe tarifave, për të siguruar burime të qëndrueshme financiare për shërbimet publike. </w:t>
      </w:r>
    </w:p>
    <w:p>
      <w:pPr>
        <w:numPr>
          <w:ilvl w:val="0"/>
          <w:numId w:val="1883"/>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Mbështetje për zhvillimin ekonomik</w:t>
      </w:r>
      <w:r>
        <w:rPr>
          <w:rFonts w:ascii="Times New Roman" w:hAnsi="Times New Roman" w:cs="Times New Roman" w:eastAsia="Times New Roman"/>
          <w:color w:val="auto"/>
          <w:spacing w:val="0"/>
          <w:position w:val="0"/>
          <w:sz w:val="24"/>
          <w:shd w:fill="auto" w:val="clear"/>
        </w:rPr>
        <w:t xml:space="preserve">: Ofrimi i mbështetjes për bizneset dhe investitorët, zhvillimi i infrastrukturës dhe krijimi i kushteve të favorshme për zhvillimin e qëndrueshëm ekonomik.</w:t>
      </w:r>
    </w:p>
    <w:p>
      <w:pPr>
        <w:numPr>
          <w:ilvl w:val="0"/>
          <w:numId w:val="1883"/>
        </w:numPr>
        <w:tabs>
          <w:tab w:val="left" w:pos="720" w:leader="none"/>
        </w:tabs>
        <w:spacing w:before="0" w:after="0" w:line="276"/>
        <w:ind w:right="0" w:left="720" w:hanging="36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tbl>
      <w:tblPr>
        <w:tblInd w:w="250" w:type="dxa"/>
      </w:tblPr>
      <w:tblGrid>
        <w:gridCol w:w="4136"/>
        <w:gridCol w:w="1524"/>
        <w:gridCol w:w="1524"/>
        <w:gridCol w:w="1582"/>
      </w:tblGrid>
      <w:tr>
        <w:trPr>
          <w:trHeight w:val="326"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449"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Numri i raporteve financiare që do të publikohen për qytetarët dhe institucionet.</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w:t>
            </w:r>
          </w:p>
        </w:tc>
      </w:tr>
      <w:tr>
        <w:trPr>
          <w:trHeight w:val="620"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Përqindja e qytetarëve që do të informohen për mënyrën se si shpenzohen fondet publike.</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100%</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100%</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100%</w:t>
            </w:r>
          </w:p>
        </w:tc>
      </w:tr>
      <w:tr>
        <w:trPr>
          <w:trHeight w:val="77"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Përqindja e planifikuar e realizimit të buxhetit </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98%</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98.5%</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99%</w:t>
            </w:r>
          </w:p>
        </w:tc>
      </w:tr>
      <w:tr>
        <w:trPr>
          <w:trHeight w:val="77"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Numri i auditimeve të brendshme:</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w:t>
            </w:r>
          </w:p>
        </w:tc>
      </w:tr>
      <w:tr>
        <w:trPr>
          <w:trHeight w:val="77"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Numri i rasteve të shkeljeve financiare të identifikuara:</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0</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0</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0</w:t>
            </w:r>
          </w:p>
        </w:tc>
      </w:tr>
      <w:tr>
        <w:trPr>
          <w:trHeight w:val="77" w:hRule="auto"/>
          <w:jc w:val="left"/>
        </w:trPr>
        <w:tc>
          <w:tcPr>
            <w:tcW w:w="4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Përqindja e inkasimit të të hyrave vetanake të planifikuara</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100%</w:t>
            </w:r>
          </w:p>
        </w:tc>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100%</w:t>
            </w:r>
          </w:p>
        </w:tc>
        <w:tc>
          <w:tcPr>
            <w:tcW w:w="15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100%</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Drejtoria e Kulturës, Rinisë dhe Sportit </w:t>
      </w:r>
    </w:p>
    <w:p>
      <w:pPr>
        <w:spacing w:before="0" w:after="160" w:line="278"/>
        <w:ind w:right="0" w:left="0" w:firstLine="0"/>
        <w:jc w:val="left"/>
        <w:rPr>
          <w:rFonts w:ascii="Times New Roman" w:hAnsi="Times New Roman" w:cs="Times New Roman" w:eastAsia="Times New Roman"/>
          <w:b/>
          <w:color w:val="auto"/>
          <w:spacing w:val="0"/>
          <w:position w:val="0"/>
          <w:sz w:val="24"/>
          <w:shd w:fill="auto" w:val="clear"/>
        </w:rPr>
      </w:pPr>
    </w:p>
    <w:p>
      <w:pPr>
        <w:tabs>
          <w:tab w:val="left" w:pos="720" w:leader="none"/>
        </w:tabs>
        <w:spacing w:before="0" w:after="160" w:line="278"/>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Misioni: </w:t>
      </w:r>
      <w:r>
        <w:rPr>
          <w:rFonts w:ascii="Times New Roman" w:hAnsi="Times New Roman" w:cs="Times New Roman" w:eastAsia="Times New Roman"/>
          <w:color w:val="auto"/>
          <w:spacing w:val="0"/>
          <w:position w:val="0"/>
          <w:sz w:val="24"/>
          <w:shd w:fill="auto" w:val="clear"/>
        </w:rPr>
        <w:t xml:space="preserve">Të kontribuojmë në zhvillimin e qëndrueshëm të kulturës, rinisë dhe sporteve përmes: </w:t>
      </w:r>
    </w:p>
    <w:p>
      <w:pPr>
        <w:numPr>
          <w:ilvl w:val="0"/>
          <w:numId w:val="1914"/>
        </w:numPr>
        <w:tabs>
          <w:tab w:val="left" w:pos="720" w:leader="none"/>
        </w:tabs>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Hartimit dhe implementimit të planeve strategjike</w:t>
      </w:r>
      <w:r>
        <w:rPr>
          <w:rFonts w:ascii="Times New Roman" w:hAnsi="Times New Roman" w:cs="Times New Roman" w:eastAsia="Times New Roman"/>
          <w:color w:val="auto"/>
          <w:spacing w:val="0"/>
          <w:position w:val="0"/>
          <w:sz w:val="24"/>
          <w:shd w:fill="auto" w:val="clear"/>
        </w:rPr>
        <w:t xml:space="preserve"> për mbështetje dhe zhvillim të aktiviteteve kulturore, rinore dhe sportive.</w:t>
      </w:r>
    </w:p>
    <w:p>
      <w:pPr>
        <w:numPr>
          <w:ilvl w:val="0"/>
          <w:numId w:val="1914"/>
        </w:numPr>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Udhëheqjes dhe menaxhimit të resurseve lokale</w:t>
      </w:r>
      <w:r>
        <w:rPr>
          <w:rFonts w:ascii="Times New Roman" w:hAnsi="Times New Roman" w:cs="Times New Roman" w:eastAsia="Times New Roman"/>
          <w:color w:val="auto"/>
          <w:spacing w:val="0"/>
          <w:position w:val="0"/>
          <w:sz w:val="24"/>
          <w:shd w:fill="auto" w:val="clear"/>
        </w:rPr>
        <w:t xml:space="preserve">, përfshirë institucionet kulturore dhe sportive si teatri, biblioteka, muzeu dhe palestra.</w:t>
      </w:r>
    </w:p>
    <w:p>
      <w:pPr>
        <w:numPr>
          <w:ilvl w:val="0"/>
          <w:numId w:val="1914"/>
        </w:numPr>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Organizimit të aktiviteteve dhe ngjarjeve</w:t>
      </w:r>
      <w:r>
        <w:rPr>
          <w:rFonts w:ascii="Times New Roman" w:hAnsi="Times New Roman" w:cs="Times New Roman" w:eastAsia="Times New Roman"/>
          <w:color w:val="auto"/>
          <w:spacing w:val="0"/>
          <w:position w:val="0"/>
          <w:sz w:val="24"/>
          <w:shd w:fill="auto" w:val="clear"/>
        </w:rPr>
        <w:t xml:space="preserve">, si shënime të datave historike, debate, seminare dhe trajnime për avancimin e kulturës dhe rinisë.</w:t>
      </w:r>
    </w:p>
    <w:p>
      <w:pPr>
        <w:numPr>
          <w:ilvl w:val="0"/>
          <w:numId w:val="1914"/>
        </w:numPr>
        <w:spacing w:before="0" w:after="16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Mbështetjes dhe promovimit të grupeve dhe individëve</w:t>
      </w:r>
      <w:r>
        <w:rPr>
          <w:rFonts w:ascii="Times New Roman" w:hAnsi="Times New Roman" w:cs="Times New Roman" w:eastAsia="Times New Roman"/>
          <w:color w:val="auto"/>
          <w:spacing w:val="0"/>
          <w:position w:val="0"/>
          <w:sz w:val="24"/>
          <w:shd w:fill="auto" w:val="clear"/>
        </w:rPr>
        <w:t xml:space="preserve">, përfshirë regjistrimin e grupeve artistike, klubeve rinore dhe shoqatave sportive.</w:t>
      </w:r>
    </w:p>
    <w:p>
      <w:pPr>
        <w:numPr>
          <w:ilvl w:val="0"/>
          <w:numId w:val="1914"/>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Sigurimit të resurseve të nevojshme</w:t>
      </w:r>
      <w:r>
        <w:rPr>
          <w:rFonts w:ascii="Times New Roman" w:hAnsi="Times New Roman" w:cs="Times New Roman" w:eastAsia="Times New Roman"/>
          <w:color w:val="auto"/>
          <w:spacing w:val="0"/>
          <w:position w:val="0"/>
          <w:sz w:val="24"/>
          <w:shd w:fill="auto" w:val="clear"/>
        </w:rPr>
        <w:t xml:space="preserve">, duke përfshirë kërkimin e fondeve shtesë dhe investitorëve për mbështetje të aktiviteteve. Rritje e mbështetjes financiare për projekte rinore si dhe projekte që kanë për qëllim fuqizimin dhe pjesëmarrje aktive të vajzave/grave në shoqëri. </w:t>
      </w:r>
    </w:p>
    <w:p>
      <w:pPr>
        <w:spacing w:before="0" w:after="0" w:line="240"/>
        <w:ind w:right="0" w:left="0" w:firstLine="0"/>
        <w:jc w:val="both"/>
        <w:rPr>
          <w:rFonts w:ascii="Times New Roman" w:hAnsi="Times New Roman" w:cs="Times New Roman" w:eastAsia="Times New Roman"/>
          <w:b/>
          <w:color w:val="auto"/>
          <w:spacing w:val="0"/>
          <w:position w:val="0"/>
          <w:sz w:val="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8"/>
          <w:shd w:fill="auto" w:val="clear"/>
        </w:rPr>
      </w:pPr>
    </w:p>
    <w:p>
      <w:pPr>
        <w:tabs>
          <w:tab w:val="left" w:pos="720" w:leader="none"/>
        </w:tabs>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Vizioni:</w:t>
      </w:r>
      <w:r>
        <w:rPr>
          <w:rFonts w:ascii="Times New Roman" w:hAnsi="Times New Roman" w:cs="Times New Roman" w:eastAsia="Times New Roman"/>
          <w:color w:val="auto"/>
          <w:spacing w:val="0"/>
          <w:position w:val="0"/>
          <w:sz w:val="24"/>
          <w:shd w:fill="auto" w:val="clear"/>
        </w:rPr>
        <w:t xml:space="preserve"> Nëpërmjet thirrjeve publike për financim si dhe bashkëpunimeve me organizata të ndryshme, ne synojmë që DKRS të ketë një program atraktiv që shënon zhvillime dhe përmbushje të nevojave sportive, kulturore e rinore me theks të veçantë buxhetim të barabartë gjinor që ndikon në fuqizimin e vajzave dhe grave. Si dhe çdo mbështetje tjetër që na lejohen në bazë të rregulloreve komunale përmes të cilave kalojnë këto procedura. Vizioni i Drejtorisë është të krijojë një mjedis të pasur dhe të zhvilluar për kulturë, rini dhe sport, ku aktivitetet kulturore, rinore dhe sportive janë të integruara dhe të zhvilluara në mënyrë të qëndrueshme, të rinjtë janë të angazhuar dhe të përfshirë në aktivitete që promovojnë zhvillimin e tyre personal dhe profesional, Institucionet kulturore dhe sportive funksionojnë në mënyrë efikase dhe janë të aksesueshme për të gjithë qytetarët.</w:t>
      </w:r>
    </w:p>
    <w:p>
      <w:pPr>
        <w:spacing w:before="0" w:after="0" w:line="276"/>
        <w:ind w:right="0" w:left="0" w:firstLine="0"/>
        <w:jc w:val="left"/>
        <w:rPr>
          <w:rFonts w:ascii="Times New Roman" w:hAnsi="Times New Roman" w:cs="Times New Roman" w:eastAsia="Times New Roman"/>
          <w:color w:val="auto"/>
          <w:spacing w:val="0"/>
          <w:position w:val="0"/>
          <w:sz w:val="8"/>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Objektivat: </w:t>
      </w:r>
    </w:p>
    <w:p>
      <w:pPr>
        <w:numPr>
          <w:ilvl w:val="0"/>
          <w:numId w:val="1920"/>
        </w:numPr>
        <w:spacing w:before="0" w:after="0" w:line="276"/>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Rritja e mbështetjes financiare së projekteve dhe OJQ-ve me udhëheqëse gra, aktivizimi i grave dhe vajzave në</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njohuritë rreth</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buxhetimit të përgjegjshëm gjinor.</w:t>
      </w:r>
    </w:p>
    <w:p>
      <w:pPr>
        <w:numPr>
          <w:ilvl w:val="0"/>
          <w:numId w:val="1920"/>
        </w:numPr>
        <w:spacing w:before="0" w:after="0" w:line="276"/>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Ruajtja dhe promovimi i trashëgimisë kulturore materiale dhe shpirtërore.</w:t>
      </w:r>
    </w:p>
    <w:p>
      <w:pPr>
        <w:numPr>
          <w:ilvl w:val="0"/>
          <w:numId w:val="1920"/>
        </w:numPr>
        <w:spacing w:before="0" w:after="0" w:line="276"/>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Organizimi i aktiviteteve për shënimin e datave me rëndësi historike dhe kulturore</w:t>
      </w:r>
    </w:p>
    <w:p>
      <w:pPr>
        <w:numPr>
          <w:ilvl w:val="0"/>
          <w:numId w:val="1920"/>
        </w:numPr>
        <w:spacing w:before="100" w:after="10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Krijimi i mundësive për angazhimin e të rinjve në aktivitete kulturore, rinore dhe sportive.</w:t>
      </w:r>
    </w:p>
    <w:p>
      <w:pPr>
        <w:numPr>
          <w:ilvl w:val="0"/>
          <w:numId w:val="1920"/>
        </w:numPr>
        <w:spacing w:before="100" w:after="10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Ofrimi i mbështetjes për organizatat rinore dhe promovimi i vullnetarizmit.</w:t>
      </w:r>
    </w:p>
    <w:p>
      <w:pPr>
        <w:numPr>
          <w:ilvl w:val="0"/>
          <w:numId w:val="1920"/>
        </w:numPr>
        <w:spacing w:before="100" w:after="10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Organizimi i aktiviteteve sportive për të rinjtë dhe komunitetin në përgjithësi.</w:t>
      </w:r>
    </w:p>
    <w:p>
      <w:pPr>
        <w:numPr>
          <w:ilvl w:val="0"/>
          <w:numId w:val="1920"/>
        </w:numPr>
        <w:spacing w:before="100" w:after="10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Mbështetje për zhvillimin e sporteve të ndryshme dhe krijimi i kushteve për stërvitje dhe konkurrim.</w:t>
      </w:r>
    </w:p>
    <w:p>
      <w:pPr>
        <w:numPr>
          <w:ilvl w:val="0"/>
          <w:numId w:val="1920"/>
        </w:numPr>
        <w:spacing w:before="100" w:after="10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Organizimi i garave dhe turneve sportive në nivel lokal dhe rajonal.</w:t>
      </w:r>
    </w:p>
    <w:p>
      <w:pPr>
        <w:numPr>
          <w:ilvl w:val="0"/>
          <w:numId w:val="1920"/>
        </w:numPr>
        <w:spacing w:before="100" w:after="100" w:line="240"/>
        <w:ind w:right="0" w:left="55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Bashkëpunimi me Ministrinë e Kulturës, Rinisë dhe Sporteve, si dhe me institucione të tjera qendrore dhe lokale.</w:t>
      </w:r>
    </w:p>
    <w:tbl>
      <w:tblPr>
        <w:tblInd w:w="250" w:type="dxa"/>
      </w:tblPr>
      <w:tblGrid>
        <w:gridCol w:w="4138"/>
        <w:gridCol w:w="1523"/>
        <w:gridCol w:w="1523"/>
        <w:gridCol w:w="1763"/>
      </w:tblGrid>
      <w:tr>
        <w:trPr>
          <w:trHeight w:val="494"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Indikatori</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2028</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2029</w:t>
            </w:r>
          </w:p>
        </w:tc>
      </w:tr>
      <w:tr>
        <w:trPr>
          <w:trHeight w:val="746"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Rritja e % së mbështetjes financiare për OJQ-te me udhëheqëse gra </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7%</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r>
      <w:tr>
        <w:trPr>
          <w:trHeight w:val="710"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Rritja e % së mbështetjes financiare për OJQ-te me përfituese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an</w:t>
            </w:r>
            <w:r>
              <w:rPr>
                <w:rFonts w:ascii="Times New Roman" w:hAnsi="Times New Roman" w:cs="Times New Roman" w:eastAsia="Times New Roman"/>
                <w:color w:val="auto"/>
                <w:spacing w:val="0"/>
                <w:position w:val="0"/>
                <w:sz w:val="24"/>
                <w:shd w:fill="auto" w:val="clear"/>
              </w:rPr>
              <w:t xml:space="preserve">ëtare femra </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15%</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w:t>
            </w:r>
          </w:p>
        </w:tc>
      </w:tr>
      <w:tr>
        <w:trPr>
          <w:trHeight w:val="1043"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Rritja e % së trajnimeve për fuqizim e pjesëmarrje aktive në shoqëri e politikë si dhe në qeverisje lokale</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0</w:t>
            </w:r>
            <w:r>
              <w:rPr>
                <w:rFonts w:ascii="Times New Roman" w:hAnsi="Times New Roman" w:cs="Times New Roman" w:eastAsia="Times New Roman"/>
                <w:b/>
                <w:color w:val="auto"/>
                <w:spacing w:val="0"/>
                <w:position w:val="0"/>
                <w:sz w:val="24"/>
                <w:shd w:fill="auto" w:val="clear"/>
              </w:rPr>
              <w:t xml:space="preserve">%</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50%</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50%</w:t>
            </w:r>
          </w:p>
        </w:tc>
      </w:tr>
      <w:tr>
        <w:trPr>
          <w:trHeight w:val="1160"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Rritja e % së OJQ-ve sportive me synim fuqizimi të vajzave dhe grave që kanë prirje në sporte.  </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30%</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30%</w:t>
            </w:r>
          </w:p>
        </w:tc>
      </w:tr>
      <w:tr>
        <w:trPr>
          <w:trHeight w:val="1160"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Rritja e % Organizimi i aktiviteteve për shënimin e datave me rëndësi historike dhe kulturore</w:t>
            </w:r>
          </w:p>
          <w:p>
            <w:pPr>
              <w:spacing w:before="0" w:after="0" w:line="276"/>
              <w:ind w:right="0" w:left="0" w:firstLine="0"/>
              <w:jc w:val="left"/>
              <w:rPr>
                <w:color w:val="auto"/>
                <w:spacing w:val="0"/>
                <w:position w:val="0"/>
                <w:shd w:fill="auto" w:val="clear"/>
              </w:rPr>
            </w:pP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12%</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15%</w:t>
            </w:r>
          </w:p>
        </w:tc>
      </w:tr>
      <w:tr>
        <w:trPr>
          <w:trHeight w:val="1160"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Rritja e % Organizimi i garave dhe turneve sportive në nivel lokal dhe rajonal.</w:t>
            </w:r>
          </w:p>
          <w:p>
            <w:pPr>
              <w:spacing w:before="0" w:after="0" w:line="240"/>
              <w:ind w:right="0" w:left="0" w:firstLine="0"/>
              <w:jc w:val="left"/>
              <w:rPr>
                <w:color w:val="auto"/>
                <w:spacing w:val="0"/>
                <w:position w:val="0"/>
                <w:shd w:fill="auto" w:val="clear"/>
              </w:rPr>
            </w:pP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30%</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40%</w:t>
            </w:r>
          </w:p>
        </w:tc>
      </w:tr>
      <w:tr>
        <w:trPr>
          <w:trHeight w:val="1160" w:hRule="auto"/>
          <w:jc w:val="left"/>
        </w:trPr>
        <w:tc>
          <w:tcPr>
            <w:tcW w:w="4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Rritja e % Bashkëpunimi me Ministrinë e Kulturës, Rinisë dhe Sporteve, si dhe me institucione të tjera qendrore dhe lokale.</w:t>
            </w:r>
          </w:p>
          <w:p>
            <w:pPr>
              <w:spacing w:before="100" w:after="100" w:line="240"/>
              <w:ind w:right="0" w:left="0" w:firstLine="0"/>
              <w:jc w:val="left"/>
              <w:rPr>
                <w:color w:val="auto"/>
                <w:spacing w:val="0"/>
                <w:position w:val="0"/>
                <w:shd w:fill="auto" w:val="clear"/>
              </w:rPr>
            </w:pP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c>
          <w:tcPr>
            <w:tcW w:w="15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12%</w:t>
            </w:r>
          </w:p>
        </w:tc>
        <w:tc>
          <w:tcPr>
            <w:tcW w:w="17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15%</w:t>
            </w:r>
          </w:p>
        </w:tc>
      </w:tr>
    </w:tbl>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num w:numId="11">
    <w:abstractNumId w:val="114"/>
  </w:num>
  <w:num w:numId="36">
    <w:abstractNumId w:val="108"/>
  </w:num>
  <w:num w:numId="41">
    <w:abstractNumId w:val="102"/>
  </w:num>
  <w:num w:numId="48">
    <w:abstractNumId w:val="96"/>
  </w:num>
  <w:num w:numId="55">
    <w:abstractNumId w:val="90"/>
  </w:num>
  <w:num w:numId="312">
    <w:abstractNumId w:val="84"/>
  </w:num>
  <w:num w:numId="1690">
    <w:abstractNumId w:val="78"/>
  </w:num>
  <w:num w:numId="1699">
    <w:abstractNumId w:val="72"/>
  </w:num>
  <w:num w:numId="1719">
    <w:abstractNumId w:val="66"/>
  </w:num>
  <w:num w:numId="1721">
    <w:abstractNumId w:val="60"/>
  </w:num>
  <w:num w:numId="1723">
    <w:abstractNumId w:val="54"/>
  </w:num>
  <w:num w:numId="1751">
    <w:abstractNumId w:val="48"/>
  </w:num>
  <w:num w:numId="1753">
    <w:abstractNumId w:val="42"/>
  </w:num>
  <w:num w:numId="1816">
    <w:abstractNumId w:val="36"/>
  </w:num>
  <w:num w:numId="1838">
    <w:abstractNumId w:val="30"/>
  </w:num>
  <w:num w:numId="1842">
    <w:abstractNumId w:val="24"/>
  </w:num>
  <w:num w:numId="1881">
    <w:abstractNumId w:val="18"/>
  </w:num>
  <w:num w:numId="1883">
    <w:abstractNumId w:val="12"/>
  </w:num>
  <w:num w:numId="1914">
    <w:abstractNumId w:val="6"/>
  </w:num>
  <w:num w:numId="192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